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52240B">
        <w:rPr>
          <w:rFonts w:ascii="Times New Roman" w:eastAsia="Times New Roman" w:hAnsi="Times New Roman"/>
          <w:b/>
          <w:sz w:val="28"/>
          <w:szCs w:val="28"/>
          <w:lang w:eastAsia="ru-RU"/>
        </w:rPr>
        <w:t>о 2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6298"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2240B">
        <w:rPr>
          <w:rFonts w:ascii="Times New Roman" w:hAnsi="Times New Roman" w:cs="Times New Roman"/>
          <w:b/>
          <w:sz w:val="28"/>
          <w:szCs w:val="28"/>
        </w:rPr>
        <w:t>04.2021 по 30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2240B">
        <w:rPr>
          <w:rFonts w:ascii="Times New Roman" w:hAnsi="Times New Roman" w:cs="Times New Roman"/>
          <w:b/>
          <w:sz w:val="28"/>
          <w:szCs w:val="28"/>
        </w:rPr>
        <w:t>06</w:t>
      </w:r>
      <w:r w:rsidR="00E1204E">
        <w:rPr>
          <w:rFonts w:ascii="Times New Roman" w:hAnsi="Times New Roman" w:cs="Times New Roman"/>
          <w:b/>
          <w:sz w:val="28"/>
          <w:szCs w:val="28"/>
        </w:rPr>
        <w:t>.</w:t>
      </w:r>
      <w:r w:rsidR="008B6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 w:rsidR="00EC3405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транспорта и дорожного хозяйства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A0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6F7E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поступило</w:t>
      </w:r>
      <w:r w:rsidR="00253B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434</w:t>
      </w:r>
      <w:r w:rsidR="00AD0BD2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AD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A117F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915A0A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5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17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</w:t>
      </w:r>
      <w:r w:rsidR="006E2CA8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17F">
        <w:rPr>
          <w:rFonts w:ascii="Times New Roman" w:hAnsi="Times New Roman" w:cs="Times New Roman"/>
          <w:color w:val="000000" w:themeColor="text1"/>
          <w:sz w:val="28"/>
          <w:szCs w:val="28"/>
        </w:rPr>
        <w:t>года-445, и во втором квартале 2020 года-370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253B5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Во втором квартале</w:t>
      </w:r>
      <w:r w:rsidR="0054285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1 кварталом 2021 года количество уменьшилось на 2% (на 11обращений), в сравнении со 2 кварталом 2020 года количество увеличилось на 17% (на 64 обращения).</w:t>
      </w:r>
    </w:p>
    <w:p w:rsidR="00FC6AD6" w:rsidRPr="00920A46" w:rsidRDefault="00FC6AD6" w:rsidP="00920A46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246DCC" w:rsidRDefault="004C1B00" w:rsidP="00246DC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246DCC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0C5B71" w:rsidRDefault="00246DC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0C5B71">
        <w:rPr>
          <w:rFonts w:ascii="Times New Roman" w:hAnsi="Times New Roman" w:cs="Times New Roman"/>
          <w:color w:val="000000" w:themeColor="text1"/>
          <w:sz w:val="28"/>
          <w:szCs w:val="28"/>
        </w:rPr>
        <w:t>124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0C5B71">
        <w:rPr>
          <w:rFonts w:ascii="Times New Roman" w:hAnsi="Times New Roman" w:cs="Times New Roman"/>
          <w:color w:val="000000" w:themeColor="text1"/>
          <w:sz w:val="28"/>
          <w:szCs w:val="28"/>
        </w:rPr>
        <w:t>й во втором</w:t>
      </w:r>
      <w:r w:rsidR="001C59B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квартале 2021 года-112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C5B71"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BF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0C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-245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Статистика показывает,</w:t>
      </w:r>
      <w:r w:rsidR="000C5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во втором квартале 2021 года в сравнении с первым кварталом 2021 года количество увеличилось на 11% (на 12 обращений), с кварталом прошлого года количество уменьшилось на 49% (на 121 обращение).</w:t>
      </w:r>
    </w:p>
    <w:p w:rsidR="00BA4266" w:rsidRDefault="00E05C5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301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квартале 2021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309 обращений, а во втором квартале прошлого года 125. С прошлым кварталом текущего года произошло не большое снижение на 2% (на 8 обращений), а со вторым кварталом прошлого года количество обращений увеличилось на 41% (на 176 обращений). </w:t>
      </w: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0A46" w:rsidRDefault="00920A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C2A" w:rsidRDefault="00D41C2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Из 434 обращений во втором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 года поступило 418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исьменных обращений, в первом квартале 2021 года поступило 445 обращений из них 386 письменных, во втором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370 из них 320 письменных. Во втором квартале 2021 года количество письменных обращений поступило больше чем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предыдущие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квартала.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246DCC" w:rsidRPr="004A51AA" w:rsidRDefault="00D41C2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Во втором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</w:t>
      </w:r>
      <w:r w:rsidR="00920A4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21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было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</w:t>
      </w:r>
      <w:r w:rsidR="0028547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124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первом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2021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78 заявлений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080A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 втором квартале 2020 года- 42 заявления</w:t>
      </w:r>
      <w:r w:rsidR="00920A4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28547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данном квартале количество заявлений увеличилось, с первым кварталом на 59% (на 46 заявлений), а со вторым кварталом прошлого года на 95% (на 82 заявления).</w:t>
      </w:r>
    </w:p>
    <w:p w:rsidR="00A51A90" w:rsidRDefault="00246DCC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втором</w:t>
      </w:r>
      <w:r w:rsidR="00F25BE4" w:rsidRP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 поступило 5</w:t>
      </w:r>
      <w:r w:rsidR="00BF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обращений,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2021 года поступило 18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>, а в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да поступило 10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устных обращений в данном квартале уменьшилось в сравнении с предыдущими кварталами.</w:t>
      </w:r>
    </w:p>
    <w:p w:rsidR="00285474" w:rsidRDefault="00CA023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министру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обратилось 3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при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сутствовало 3 гражданина. Во втором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ртале прошлого года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 к министру граждане не обращались.</w:t>
      </w:r>
    </w:p>
    <w:p w:rsidR="00BE7809" w:rsidRDefault="0028547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E07A24" w:rsidRDefault="00E07A2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0924" cy="3457815"/>
            <wp:effectExtent l="0" t="0" r="1079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24FA" w:rsidRDefault="00510E61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A5DE0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втором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2021</w:t>
      </w:r>
      <w:r w:rsidR="001F0A1E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4 обращение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BB561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CB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>года-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141 обращение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обращений по электронной связи значительно уменьшилось, с предыдущим кварталом на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75% </w:t>
      </w:r>
      <w:r w:rsidR="00285474">
        <w:rPr>
          <w:rFonts w:ascii="Times New Roman" w:hAnsi="Times New Roman" w:cs="Times New Roman"/>
          <w:color w:val="000000" w:themeColor="text1"/>
          <w:sz w:val="28"/>
          <w:szCs w:val="28"/>
        </w:rPr>
        <w:t>(на 12обращений),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прошлым годом на 137 обращение.</w:t>
      </w:r>
    </w:p>
    <w:p w:rsidR="00024E7A" w:rsidRDefault="002B24FA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 w:rsidR="00FD60B6">
        <w:rPr>
          <w:rFonts w:ascii="Times New Roman" w:hAnsi="Times New Roman" w:cs="Times New Roman"/>
          <w:color w:val="000000" w:themeColor="text1"/>
          <w:sz w:val="28"/>
          <w:szCs w:val="28"/>
        </w:rPr>
        <w:t>тале 2021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153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поступило-199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втором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 поступило 72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ст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атистика показывает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в сравнении с предыдущим кварталом количество жалоб уменьшилось на 23% (на 46 жалобы), с предыдущим кварталом увеличилось на 25% (на 81 жалобу).</w:t>
      </w:r>
    </w:p>
    <w:p w:rsidR="002B24FA" w:rsidRDefault="002B24F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втором  квартале 2021 года поступило 16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 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поступило 27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осов, а во втором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запросов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уменьшилось в сравнении с прошлым кварталом на 41% (на 11 запросов),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предыдуще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количество увеличилось на 78% (на 7 запросов).</w:t>
      </w:r>
    </w:p>
    <w:p w:rsidR="002B24FA" w:rsidRDefault="00024E7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данном квартале по смс-сообщению поступило 6 обращений.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4FA">
        <w:rPr>
          <w:rFonts w:ascii="Times New Roman" w:hAnsi="Times New Roman" w:cs="Times New Roman"/>
          <w:color w:val="000000" w:themeColor="text1"/>
          <w:sz w:val="28"/>
          <w:szCs w:val="28"/>
        </w:rPr>
        <w:t>В предыдущих кварталах таких обращений не поступало.</w:t>
      </w:r>
    </w:p>
    <w:p w:rsidR="004133E6" w:rsidRDefault="002B24F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27E48">
        <w:rPr>
          <w:rFonts w:ascii="Times New Roman" w:hAnsi="Times New Roman" w:cs="Times New Roman"/>
          <w:color w:val="000000" w:themeColor="text1"/>
          <w:sz w:val="28"/>
          <w:szCs w:val="28"/>
        </w:rPr>
        <w:t>Во втором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>ступ</w:t>
      </w:r>
      <w:r w:rsidR="00E27E48">
        <w:rPr>
          <w:rFonts w:ascii="Times New Roman" w:hAnsi="Times New Roman" w:cs="Times New Roman"/>
          <w:color w:val="000000" w:themeColor="text1"/>
          <w:sz w:val="28"/>
          <w:szCs w:val="28"/>
        </w:rPr>
        <w:t>ило 1 предложение, а в первом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2021 года поступило 5</w:t>
      </w:r>
      <w:r w:rsidR="0079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7E48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предложений, в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поступило 6 предложений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7E48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предложений в данном квартале уменьшилось.</w:t>
      </w:r>
    </w:p>
    <w:p w:rsidR="00770492" w:rsidRDefault="005355A8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24FA">
        <w:rPr>
          <w:rFonts w:ascii="Times New Roman" w:eastAsia="Times New Roman" w:hAnsi="Times New Roman"/>
          <w:sz w:val="28"/>
          <w:szCs w:val="28"/>
          <w:lang w:eastAsia="ru-RU"/>
        </w:rPr>
        <w:t>позволила во вт</w:t>
      </w:r>
      <w:r w:rsidR="00E27E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B24FA">
        <w:rPr>
          <w:rFonts w:ascii="Times New Roman" w:eastAsia="Times New Roman" w:hAnsi="Times New Roman"/>
          <w:sz w:val="28"/>
          <w:szCs w:val="28"/>
          <w:lang w:eastAsia="ru-RU"/>
        </w:rPr>
        <w:t>ром</w:t>
      </w:r>
      <w:r w:rsidR="0025762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D60B6">
        <w:rPr>
          <w:rFonts w:ascii="Times New Roman" w:eastAsia="Times New Roman" w:hAnsi="Times New Roman"/>
          <w:sz w:val="28"/>
          <w:szCs w:val="28"/>
          <w:lang w:eastAsia="ru-RU"/>
        </w:rPr>
        <w:t xml:space="preserve">  2021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A" w:rsidRDefault="00E071AA" w:rsidP="00160988">
      <w:r>
        <w:separator/>
      </w:r>
    </w:p>
  </w:endnote>
  <w:endnote w:type="continuationSeparator" w:id="0">
    <w:p w:rsidR="00E071AA" w:rsidRDefault="00E071AA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A" w:rsidRDefault="00E071AA" w:rsidP="00160988">
      <w:r>
        <w:separator/>
      </w:r>
    </w:p>
  </w:footnote>
  <w:footnote w:type="continuationSeparator" w:id="0">
    <w:p w:rsidR="00E071AA" w:rsidRDefault="00E071AA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44F2"/>
    <w:rsid w:val="00024E7A"/>
    <w:rsid w:val="00031E95"/>
    <w:rsid w:val="000358A1"/>
    <w:rsid w:val="000416DE"/>
    <w:rsid w:val="00041B86"/>
    <w:rsid w:val="00042CA1"/>
    <w:rsid w:val="000450F6"/>
    <w:rsid w:val="000503CA"/>
    <w:rsid w:val="00052458"/>
    <w:rsid w:val="00053C36"/>
    <w:rsid w:val="00054D7C"/>
    <w:rsid w:val="000749B7"/>
    <w:rsid w:val="00080AC5"/>
    <w:rsid w:val="0008792B"/>
    <w:rsid w:val="000A2EBA"/>
    <w:rsid w:val="000A72E5"/>
    <w:rsid w:val="000B1405"/>
    <w:rsid w:val="000B4DFF"/>
    <w:rsid w:val="000C5B71"/>
    <w:rsid w:val="000C7835"/>
    <w:rsid w:val="000C78D1"/>
    <w:rsid w:val="000D4585"/>
    <w:rsid w:val="000D7AD9"/>
    <w:rsid w:val="000D7FC9"/>
    <w:rsid w:val="000E4247"/>
    <w:rsid w:val="001122E4"/>
    <w:rsid w:val="00121724"/>
    <w:rsid w:val="0012313D"/>
    <w:rsid w:val="001257C6"/>
    <w:rsid w:val="001352DA"/>
    <w:rsid w:val="00136225"/>
    <w:rsid w:val="00142F4B"/>
    <w:rsid w:val="00143D13"/>
    <w:rsid w:val="00151179"/>
    <w:rsid w:val="00152F2D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94ECC"/>
    <w:rsid w:val="001A0031"/>
    <w:rsid w:val="001B2A9B"/>
    <w:rsid w:val="001B4C47"/>
    <w:rsid w:val="001B6854"/>
    <w:rsid w:val="001B7274"/>
    <w:rsid w:val="001C0C2D"/>
    <w:rsid w:val="001C22D6"/>
    <w:rsid w:val="001C2FF2"/>
    <w:rsid w:val="001C3313"/>
    <w:rsid w:val="001C4D86"/>
    <w:rsid w:val="001C59BF"/>
    <w:rsid w:val="001D3D71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38D"/>
    <w:rsid w:val="00224BAB"/>
    <w:rsid w:val="00237AE3"/>
    <w:rsid w:val="00246DCC"/>
    <w:rsid w:val="00250823"/>
    <w:rsid w:val="00252171"/>
    <w:rsid w:val="00253B5D"/>
    <w:rsid w:val="00254332"/>
    <w:rsid w:val="00257628"/>
    <w:rsid w:val="00257881"/>
    <w:rsid w:val="00272C7B"/>
    <w:rsid w:val="00277AC2"/>
    <w:rsid w:val="00280002"/>
    <w:rsid w:val="00285474"/>
    <w:rsid w:val="00285FBC"/>
    <w:rsid w:val="002916AA"/>
    <w:rsid w:val="00291875"/>
    <w:rsid w:val="00291A6F"/>
    <w:rsid w:val="0029267B"/>
    <w:rsid w:val="00292E98"/>
    <w:rsid w:val="00293ED5"/>
    <w:rsid w:val="00297CDF"/>
    <w:rsid w:val="002A500A"/>
    <w:rsid w:val="002A5F99"/>
    <w:rsid w:val="002A6B43"/>
    <w:rsid w:val="002B24FA"/>
    <w:rsid w:val="002B4FFC"/>
    <w:rsid w:val="002B6501"/>
    <w:rsid w:val="002C0697"/>
    <w:rsid w:val="002C672A"/>
    <w:rsid w:val="002C6972"/>
    <w:rsid w:val="002D0BEB"/>
    <w:rsid w:val="002D2D48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33E6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740ED"/>
    <w:rsid w:val="00486C8E"/>
    <w:rsid w:val="0049484B"/>
    <w:rsid w:val="004949D7"/>
    <w:rsid w:val="004A51AA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0E61"/>
    <w:rsid w:val="00511E6C"/>
    <w:rsid w:val="005202D6"/>
    <w:rsid w:val="0052240B"/>
    <w:rsid w:val="00526167"/>
    <w:rsid w:val="00527B63"/>
    <w:rsid w:val="00530408"/>
    <w:rsid w:val="005341EA"/>
    <w:rsid w:val="00534C3C"/>
    <w:rsid w:val="005355A8"/>
    <w:rsid w:val="00535811"/>
    <w:rsid w:val="00542859"/>
    <w:rsid w:val="00545611"/>
    <w:rsid w:val="00546D80"/>
    <w:rsid w:val="00556C8E"/>
    <w:rsid w:val="0055748A"/>
    <w:rsid w:val="00560F46"/>
    <w:rsid w:val="0056796B"/>
    <w:rsid w:val="005735CB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F1099"/>
    <w:rsid w:val="005F72F9"/>
    <w:rsid w:val="00601D5F"/>
    <w:rsid w:val="006131EB"/>
    <w:rsid w:val="00622A08"/>
    <w:rsid w:val="00622AA4"/>
    <w:rsid w:val="00623287"/>
    <w:rsid w:val="00625CAD"/>
    <w:rsid w:val="00634EDD"/>
    <w:rsid w:val="0063572F"/>
    <w:rsid w:val="00643B30"/>
    <w:rsid w:val="0064549A"/>
    <w:rsid w:val="00650E40"/>
    <w:rsid w:val="00650EF6"/>
    <w:rsid w:val="0065272A"/>
    <w:rsid w:val="006676C6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E6D46"/>
    <w:rsid w:val="006F199A"/>
    <w:rsid w:val="006F461C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33010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97186"/>
    <w:rsid w:val="007A2618"/>
    <w:rsid w:val="007A6A82"/>
    <w:rsid w:val="007B2F44"/>
    <w:rsid w:val="007B3CB3"/>
    <w:rsid w:val="007B6D35"/>
    <w:rsid w:val="007C0D79"/>
    <w:rsid w:val="007D525B"/>
    <w:rsid w:val="007D734A"/>
    <w:rsid w:val="007E220F"/>
    <w:rsid w:val="007E255F"/>
    <w:rsid w:val="007E5485"/>
    <w:rsid w:val="007F178E"/>
    <w:rsid w:val="007F1EBA"/>
    <w:rsid w:val="007F21C7"/>
    <w:rsid w:val="007F74BB"/>
    <w:rsid w:val="00803FD4"/>
    <w:rsid w:val="00810453"/>
    <w:rsid w:val="00810A1A"/>
    <w:rsid w:val="00811370"/>
    <w:rsid w:val="0081571B"/>
    <w:rsid w:val="00816D16"/>
    <w:rsid w:val="00824A81"/>
    <w:rsid w:val="008348D5"/>
    <w:rsid w:val="00836983"/>
    <w:rsid w:val="00837726"/>
    <w:rsid w:val="0084307B"/>
    <w:rsid w:val="00846363"/>
    <w:rsid w:val="0085430A"/>
    <w:rsid w:val="00857C5C"/>
    <w:rsid w:val="00861946"/>
    <w:rsid w:val="008648A2"/>
    <w:rsid w:val="008653AC"/>
    <w:rsid w:val="008657F8"/>
    <w:rsid w:val="00870655"/>
    <w:rsid w:val="00880B1E"/>
    <w:rsid w:val="008815BB"/>
    <w:rsid w:val="00885B34"/>
    <w:rsid w:val="008A50FC"/>
    <w:rsid w:val="008B6298"/>
    <w:rsid w:val="008C0850"/>
    <w:rsid w:val="008C7315"/>
    <w:rsid w:val="008D3FA8"/>
    <w:rsid w:val="008E4CC3"/>
    <w:rsid w:val="00905B2B"/>
    <w:rsid w:val="00912514"/>
    <w:rsid w:val="00912B26"/>
    <w:rsid w:val="00915A0A"/>
    <w:rsid w:val="0091620E"/>
    <w:rsid w:val="00920A46"/>
    <w:rsid w:val="00937FA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75F15"/>
    <w:rsid w:val="00981FF1"/>
    <w:rsid w:val="0098635E"/>
    <w:rsid w:val="00995628"/>
    <w:rsid w:val="00996E36"/>
    <w:rsid w:val="009A4E57"/>
    <w:rsid w:val="009C1BC5"/>
    <w:rsid w:val="009C68FB"/>
    <w:rsid w:val="009D34B9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A117F"/>
    <w:rsid w:val="00AB361D"/>
    <w:rsid w:val="00AC78B6"/>
    <w:rsid w:val="00AD0BD2"/>
    <w:rsid w:val="00AD1C65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74B8E"/>
    <w:rsid w:val="00B80E44"/>
    <w:rsid w:val="00B8112D"/>
    <w:rsid w:val="00B817BC"/>
    <w:rsid w:val="00B829B7"/>
    <w:rsid w:val="00B8509C"/>
    <w:rsid w:val="00B9638B"/>
    <w:rsid w:val="00BA4266"/>
    <w:rsid w:val="00BA6A76"/>
    <w:rsid w:val="00BA7B3B"/>
    <w:rsid w:val="00BB561A"/>
    <w:rsid w:val="00BB5EE7"/>
    <w:rsid w:val="00BC4486"/>
    <w:rsid w:val="00BC7755"/>
    <w:rsid w:val="00BD173F"/>
    <w:rsid w:val="00BD6F7E"/>
    <w:rsid w:val="00BE2D34"/>
    <w:rsid w:val="00BE2E62"/>
    <w:rsid w:val="00BE7809"/>
    <w:rsid w:val="00BF3545"/>
    <w:rsid w:val="00BF4D42"/>
    <w:rsid w:val="00BF7AC9"/>
    <w:rsid w:val="00C131FE"/>
    <w:rsid w:val="00C253C4"/>
    <w:rsid w:val="00C45622"/>
    <w:rsid w:val="00C45B8F"/>
    <w:rsid w:val="00C56D5D"/>
    <w:rsid w:val="00C57C79"/>
    <w:rsid w:val="00C60261"/>
    <w:rsid w:val="00C611DC"/>
    <w:rsid w:val="00C64AB2"/>
    <w:rsid w:val="00C82181"/>
    <w:rsid w:val="00C831A7"/>
    <w:rsid w:val="00C850B6"/>
    <w:rsid w:val="00C85755"/>
    <w:rsid w:val="00C95560"/>
    <w:rsid w:val="00CA0235"/>
    <w:rsid w:val="00CA035F"/>
    <w:rsid w:val="00CA31D3"/>
    <w:rsid w:val="00CA5376"/>
    <w:rsid w:val="00CB5F95"/>
    <w:rsid w:val="00CB6568"/>
    <w:rsid w:val="00CC20D9"/>
    <w:rsid w:val="00CD2836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24A5D"/>
    <w:rsid w:val="00D32AFA"/>
    <w:rsid w:val="00D32E8F"/>
    <w:rsid w:val="00D33F30"/>
    <w:rsid w:val="00D340D7"/>
    <w:rsid w:val="00D35299"/>
    <w:rsid w:val="00D40975"/>
    <w:rsid w:val="00D41C2A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505D"/>
    <w:rsid w:val="00DD729A"/>
    <w:rsid w:val="00DD778E"/>
    <w:rsid w:val="00DD77D7"/>
    <w:rsid w:val="00DE0614"/>
    <w:rsid w:val="00DE3DB1"/>
    <w:rsid w:val="00DE48BB"/>
    <w:rsid w:val="00DF3894"/>
    <w:rsid w:val="00DF6013"/>
    <w:rsid w:val="00E00A0A"/>
    <w:rsid w:val="00E0326D"/>
    <w:rsid w:val="00E05C54"/>
    <w:rsid w:val="00E071AA"/>
    <w:rsid w:val="00E07A24"/>
    <w:rsid w:val="00E1076B"/>
    <w:rsid w:val="00E1204E"/>
    <w:rsid w:val="00E21C67"/>
    <w:rsid w:val="00E27E48"/>
    <w:rsid w:val="00E316DE"/>
    <w:rsid w:val="00E40003"/>
    <w:rsid w:val="00E40CC0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A7017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43C9"/>
    <w:rsid w:val="00F25BE4"/>
    <w:rsid w:val="00F27932"/>
    <w:rsid w:val="00F30A77"/>
    <w:rsid w:val="00F34135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67224"/>
    <w:rsid w:val="00F82F57"/>
    <w:rsid w:val="00F876F6"/>
    <w:rsid w:val="00F9332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D5095"/>
    <w:rsid w:val="00FD60B6"/>
    <w:rsid w:val="00FE16D5"/>
    <w:rsid w:val="00FE254A"/>
    <w:rsid w:val="00FE2761"/>
    <w:rsid w:val="00FE2EA8"/>
    <w:rsid w:val="00FE521E"/>
    <w:rsid w:val="00FE5EA5"/>
    <w:rsid w:val="00FF143E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о 2</a:t>
            </a:r>
            <a:r>
              <a:rPr lang="ru-RU" sz="1200"/>
              <a:t> квартале 2021 года в сравнении с</a:t>
            </a:r>
            <a:r>
              <a:rPr lang="ru-RU" sz="1200" baseline="0"/>
              <a:t> 1</a:t>
            </a:r>
            <a:r>
              <a:rPr lang="ru-RU" sz="1200"/>
              <a:t>  кварталом </a:t>
            </a:r>
            <a:r>
              <a:rPr lang="ru-RU" sz="1200" baseline="0"/>
              <a:t> 2021</a:t>
            </a:r>
            <a:r>
              <a:rPr lang="ru-RU" sz="1200"/>
              <a:t> года  </a:t>
            </a:r>
          </a:p>
          <a:p>
            <a:pPr>
              <a:defRPr/>
            </a:pPr>
            <a:r>
              <a:rPr lang="ru-RU" sz="1200"/>
              <a:t>и 2 кварталом 2020 года  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xVal>
            <c:strRef>
              <c:f>Лист1!$A$2:$A$5</c:f>
              <c:strCache>
                <c:ptCount val="4"/>
                <c:pt idx="1">
                  <c:v>2 квартал 2021 года</c:v>
                </c:pt>
                <c:pt idx="2">
                  <c:v>1 квартал 2020 года</c:v>
                </c:pt>
                <c:pt idx="3">
                  <c:v>2 квартал 2020 года</c:v>
                </c:pt>
              </c:strCache>
            </c:strRef>
          </c:xVal>
          <c:yVal>
            <c:numRef>
              <c:f>Лист1!$B$2:$B$5</c:f>
              <c:numCache>
                <c:formatCode>General</c:formatCode>
                <c:ptCount val="4"/>
                <c:pt idx="1">
                  <c:v>434</c:v>
                </c:pt>
                <c:pt idx="2">
                  <c:v>445</c:v>
                </c:pt>
                <c:pt idx="3">
                  <c:v>370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100800"/>
        <c:axId val="107222144"/>
      </c:scatterChart>
      <c:valAx>
        <c:axId val="107100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7222144"/>
        <c:crossBetween val="midCat"/>
      </c:valAx>
      <c:valAx>
        <c:axId val="107222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100800"/>
        <c:crossBetween val="midCat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во 2 квартале 2021 года, в сравнени  с 1  кварталом  2021 года </a:t>
            </a:r>
          </a:p>
          <a:p>
            <a:pPr>
              <a:defRPr/>
            </a:pPr>
            <a:r>
              <a:rPr lang="ru-RU" sz="1200" baseline="0"/>
              <a:t> и 2 кварталом 2020 года</a:t>
            </a:r>
            <a:endParaRPr lang="ru-RU" sz="1200"/>
          </a:p>
        </c:rich>
      </c:tx>
      <c:layout>
        <c:manualLayout>
          <c:xMode val="edge"/>
          <c:yMode val="edge"/>
          <c:x val="0.1342954947572052"/>
          <c:y val="1.72532781228433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2021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124</c:v>
                </c:pt>
                <c:pt idx="2">
                  <c:v>301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112</c:v>
                </c:pt>
                <c:pt idx="2">
                  <c:v>309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245</c:v>
                </c:pt>
                <c:pt idx="2">
                  <c:v>125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82119296"/>
        <c:axId val="82141568"/>
        <c:axId val="0"/>
      </c:bar3DChart>
      <c:catAx>
        <c:axId val="82119296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82141568"/>
        <c:crosses val="autoZero"/>
        <c:auto val="1"/>
        <c:lblAlgn val="ctr"/>
        <c:lblOffset val="100"/>
        <c:noMultiLvlLbl val="0"/>
      </c:catAx>
      <c:valAx>
        <c:axId val="82141568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8211929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во 2 квартале 2021 года в сравнении с 1 кварталом 2021 года и  со 2 кварталом 2020 года 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16779673374163"/>
          <c:y val="0.19580668376483423"/>
          <c:w val="0.72994331437736959"/>
          <c:h val="0.53822928383952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418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386</c:v>
                </c:pt>
                <c:pt idx="1">
                  <c:v>18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2020 год2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320</c:v>
                </c:pt>
                <c:pt idx="1">
                  <c:v>10</c:v>
                </c:pt>
                <c:pt idx="2">
                  <c:v>141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97790208"/>
        <c:axId val="97800192"/>
        <c:axId val="0"/>
      </c:bar3DChart>
      <c:catAx>
        <c:axId val="97790208"/>
        <c:scaling>
          <c:orientation val="minMax"/>
        </c:scaling>
        <c:delete val="0"/>
        <c:axPos val="b"/>
        <c:majorTickMark val="none"/>
        <c:minorTickMark val="none"/>
        <c:tickLblPos val="nextTo"/>
        <c:crossAx val="97800192"/>
        <c:crosses val="autoZero"/>
        <c:auto val="1"/>
        <c:lblAlgn val="ctr"/>
        <c:lblOffset val="100"/>
        <c:noMultiLvlLbl val="0"/>
      </c:catAx>
      <c:valAx>
        <c:axId val="978001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779020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во 2 </a:t>
            </a:r>
          </a:p>
          <a:p>
            <a:pPr>
              <a:defRPr sz="1400"/>
            </a:pPr>
            <a:r>
              <a:rPr lang="ru-RU" sz="1200" baseline="0"/>
              <a:t>квартале 2021 года в сравнении с 1  кварталом 2021 года </a:t>
            </a:r>
          </a:p>
          <a:p>
            <a:pPr>
              <a:defRPr sz="1400"/>
            </a:pPr>
            <a:r>
              <a:rPr lang="ru-RU" sz="1200" baseline="0"/>
              <a:t>и 2 кварталом 2020 года</a:t>
            </a:r>
            <a:endParaRPr lang="ru-RU" sz="1200"/>
          </a:p>
        </c:rich>
      </c:tx>
      <c:layout>
        <c:manualLayout>
          <c:xMode val="edge"/>
          <c:yMode val="edge"/>
          <c:x val="0.11953703703703704"/>
          <c:y val="3.97253468316460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2021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124</c:v>
                </c:pt>
                <c:pt idx="1">
                  <c:v>153</c:v>
                </c:pt>
                <c:pt idx="2">
                  <c:v>1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78</c:v>
                </c:pt>
                <c:pt idx="1">
                  <c:v>199</c:v>
                </c:pt>
                <c:pt idx="2">
                  <c:v>5</c:v>
                </c:pt>
                <c:pt idx="3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2020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42</c:v>
                </c:pt>
                <c:pt idx="1">
                  <c:v>76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7822976"/>
        <c:axId val="97730560"/>
        <c:axId val="0"/>
      </c:bar3DChart>
      <c:catAx>
        <c:axId val="97822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97730560"/>
        <c:crosses val="autoZero"/>
        <c:auto val="1"/>
        <c:lblAlgn val="ctr"/>
        <c:lblOffset val="100"/>
        <c:noMultiLvlLbl val="0"/>
      </c:catAx>
      <c:valAx>
        <c:axId val="977305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7822976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60E7-95E8-4338-B1A7-442C9370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1</cp:lastModifiedBy>
  <cp:revision>11</cp:revision>
  <cp:lastPrinted>2022-10-07T08:25:00Z</cp:lastPrinted>
  <dcterms:created xsi:type="dcterms:W3CDTF">2022-10-04T03:14:00Z</dcterms:created>
  <dcterms:modified xsi:type="dcterms:W3CDTF">2023-01-16T08:56:00Z</dcterms:modified>
</cp:coreProperties>
</file>