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1A67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2-ом</w:t>
      </w:r>
      <w:r w:rsidR="00E12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3E39"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период с </w:t>
      </w:r>
      <w:r w:rsidR="00F82F57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285FBC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A67EA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04</w:t>
      </w:r>
      <w:r w:rsidR="00DA3E39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</w:t>
      </w:r>
      <w:r w:rsidR="001A67EA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30</w:t>
      </w:r>
      <w:r w:rsidR="003F0389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A67EA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06</w:t>
      </w:r>
      <w:r w:rsidR="00E1204E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DA3E39" w:rsidRPr="00B64A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</w:t>
      </w: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</w:t>
      </w:r>
      <w:r w:rsidR="00EC3405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 транспорта и дорожного хозяйства</w:t>
      </w:r>
      <w:r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5A0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D6F7E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0031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поступило</w:t>
      </w:r>
      <w:r w:rsidR="00BE3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429</w:t>
      </w:r>
      <w:r w:rsidR="00DA3E39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="00AD0BD2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AD6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D60D2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915A0A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56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920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6E2CA8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3920">
        <w:rPr>
          <w:rFonts w:ascii="Times New Roman" w:hAnsi="Times New Roman" w:cs="Times New Roman"/>
          <w:color w:val="000000" w:themeColor="text1"/>
          <w:sz w:val="28"/>
          <w:szCs w:val="28"/>
        </w:rPr>
        <w:t>года-274, и во втором квартале 2021 года-434</w:t>
      </w:r>
      <w:r w:rsidR="001A0031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B64A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64A7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64A7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64A7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 коллективных </w:t>
      </w:r>
      <w:r w:rsidR="00AB361D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обращений, включая обращения объединений граждан, в том числе юридических лиц</w:t>
      </w:r>
      <w:r w:rsidR="00B265A0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FC6AD6" w:rsidRP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63248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поступивших обращений </w:t>
      </w:r>
      <w:r w:rsidR="00DA3E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0A2F6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 втором квартале 2022 года увеличилось с первым кварталом 56% (на 155 обращений), со вторым кварталом прошлого года количество уменьшилось на 1% (на 5 обращений).</w:t>
      </w:r>
    </w:p>
    <w:p w:rsidR="00FC6AD6" w:rsidRPr="00920A46" w:rsidRDefault="00FC6AD6" w:rsidP="00920A46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A75E4E" w:rsidRDefault="00A75E4E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180EB83A" wp14:editId="07BE4996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Pr="00246DCC" w:rsidRDefault="004C1B00" w:rsidP="00246DCC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4C1B00" w:rsidRPr="00246DCC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Pr="00BB5EE7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RPr="00BB5EE7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EB0EBD" w:rsidRDefault="00246DC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0A2F6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0C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="000A2F63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1C59B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2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квартале 2022 года-135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2F63">
        <w:rPr>
          <w:rFonts w:ascii="Times New Roman" w:hAnsi="Times New Roman" w:cs="Times New Roman"/>
          <w:color w:val="000000" w:themeColor="text1"/>
          <w:sz w:val="28"/>
          <w:szCs w:val="28"/>
        </w:rPr>
        <w:t>о втором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BF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8A5FB2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A2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-124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010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показывает,</w:t>
      </w:r>
      <w:r w:rsidR="000C5B71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632488" w:rsidRPr="00802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5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</w:t>
      </w:r>
      <w:r w:rsidR="006247F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B0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первым кварталом текущего года количество уменьшилось на 75% (на 10 обращений), а со вторым кварталом прошлого года количество обращений поступивших из приемной губернатора не меняется. </w:t>
      </w:r>
    </w:p>
    <w:p w:rsidR="0066636B" w:rsidRDefault="00E4413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5FB2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EB0EBD">
        <w:rPr>
          <w:rFonts w:ascii="Times New Roman" w:hAnsi="Times New Roman" w:cs="Times New Roman"/>
          <w:color w:val="000000" w:themeColor="text1"/>
          <w:sz w:val="28"/>
          <w:szCs w:val="28"/>
        </w:rPr>
        <w:t>304</w:t>
      </w:r>
      <w:r w:rsidR="00861946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1C3313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3C2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B0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квартале 2022</w:t>
      </w:r>
      <w:r w:rsidR="00A51A90"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EB0EBD">
        <w:rPr>
          <w:rFonts w:ascii="Times New Roman" w:hAnsi="Times New Roman" w:cs="Times New Roman"/>
          <w:color w:val="000000" w:themeColor="text1"/>
          <w:sz w:val="28"/>
          <w:szCs w:val="28"/>
        </w:rPr>
        <w:t>241 обращение, а во втором</w:t>
      </w:r>
      <w:r w:rsidR="006663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прошлого </w:t>
      </w:r>
      <w:r w:rsidR="00EB0EBD">
        <w:rPr>
          <w:rFonts w:ascii="Times New Roman" w:hAnsi="Times New Roman" w:cs="Times New Roman"/>
          <w:color w:val="000000" w:themeColor="text1"/>
          <w:sz w:val="28"/>
          <w:szCs w:val="28"/>
        </w:rPr>
        <w:t>года 301</w:t>
      </w:r>
      <w:r w:rsidR="00E05C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CCD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обращений во втором и первом квартале 2022 года почти не меняется, а со вторым кварталом прошлого года количество увеличилось на 26% (на 63 обращения).</w:t>
      </w:r>
    </w:p>
    <w:p w:rsidR="00EB0EBD" w:rsidRDefault="00EB0EBD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0EBD" w:rsidRDefault="00EB0EBD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4FD924" wp14:editId="3D4A13EB">
            <wp:extent cx="5793761" cy="3680652"/>
            <wp:effectExtent l="0" t="0" r="165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0A46" w:rsidRDefault="00920A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5CCD" w:rsidRDefault="00D41C2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Из 429 обращений во втором</w:t>
      </w:r>
      <w:r w:rsidR="005E72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714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375CCD">
        <w:rPr>
          <w:rFonts w:ascii="Times New Roman" w:hAnsi="Times New Roman" w:cs="Times New Roman"/>
          <w:color w:val="000000" w:themeColor="text1"/>
          <w:sz w:val="28"/>
          <w:szCs w:val="28"/>
        </w:rPr>
        <w:t>289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375CCD">
        <w:rPr>
          <w:rFonts w:ascii="Times New Roman" w:hAnsi="Times New Roman" w:cs="Times New Roman"/>
          <w:color w:val="000000" w:themeColor="text1"/>
          <w:sz w:val="28"/>
          <w:szCs w:val="28"/>
        </w:rPr>
        <w:t>исьменных обращение, в 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5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2022 года поступило 274 обращений из них 241 письменное, во втором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75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434 из них 418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B23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="00CA2B23" w:rsidRPr="00CA2B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2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574CD3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обращений</w:t>
      </w:r>
      <w:r w:rsidR="00375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увеличилось с первым кварталом текущего года на 20% (на 48 обращений), со вторым кварталом прошлого года умень</w:t>
      </w:r>
      <w:r w:rsidR="001908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шилось на 31% (на 129 обращений). </w:t>
      </w:r>
    </w:p>
    <w:p w:rsidR="00246DCC" w:rsidRPr="004A51AA" w:rsidRDefault="001F1BA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9086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Во втором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22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было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</w:t>
      </w:r>
      <w:r w:rsidR="0019086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83 заявления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19086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первом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19086E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2022 года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19086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145</w:t>
      </w:r>
      <w:r w:rsidR="00D41C2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19086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заявлений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080A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19086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 втором квартале 2021 года- 124 заявления</w:t>
      </w:r>
      <w:r w:rsidR="00920A46" w:rsidRPr="000478E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0478E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заявлений </w:t>
      </w:r>
      <w:r w:rsidR="0019086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уменьшилось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</w:t>
      </w:r>
      <w:r w:rsidR="0019086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данном квартале, с первым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на 4</w:t>
      </w:r>
      <w:r w:rsidR="00574C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3</w:t>
      </w:r>
      <w:r w:rsidR="0019086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% (на 62 заявления), со вторым кварталом прошлого года на 33% (на 41 заявление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A51A90" w:rsidRPr="006054A7" w:rsidRDefault="006054A7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 квартале поступило 10 устных обращений, в первом</w:t>
      </w:r>
      <w:r w:rsidRPr="00605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устных обращений не поступало, 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втором квартале прошлого года поступило 5 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таких обращений. Во втором квартале текущего года устных обращений увеличилось.</w:t>
      </w:r>
    </w:p>
    <w:p w:rsidR="00E07A24" w:rsidRDefault="00CA023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 квартале на личный прием к Министру поступило 5 обращений. В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квартале 2022 года на личный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к министру обратился 1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гражданин, в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>о втором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прошлого года 3 гражданина.</w:t>
      </w:r>
      <w:r w:rsidR="00FF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7B2C" w:rsidRDefault="00BA7B2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70924" cy="3457815"/>
            <wp:effectExtent l="0" t="0" r="1079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26F91" w:rsidRDefault="00510E61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 квартале 2022 года по электронной почте поступило 5 обращений,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первом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2022</w:t>
      </w:r>
      <w:r w:rsidR="001F0A1E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6054A7">
        <w:rPr>
          <w:rFonts w:ascii="Times New Roman" w:hAnsi="Times New Roman" w:cs="Times New Roman"/>
          <w:color w:val="000000" w:themeColor="text1"/>
          <w:sz w:val="28"/>
          <w:szCs w:val="28"/>
        </w:rPr>
        <w:t>10 обращений</w:t>
      </w:r>
      <w:r w:rsidR="00BA7B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 втором квартале прошлого года 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потупило 4 обращения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6F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С первым кварталом 2022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кол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ичество уменьшилось на 50% (на 5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обращений), 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со вторым кварталом прошлого года на одно обращение больше в текущем году.</w:t>
      </w:r>
    </w:p>
    <w:p w:rsidR="004630EB" w:rsidRDefault="004630EB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63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 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024E7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8D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тале 2022 года поступило 190</w:t>
      </w:r>
      <w:r w:rsidR="00F170D9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503C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5735CB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2022</w:t>
      </w:r>
      <w:r w:rsidR="000503CA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-93</w:t>
      </w:r>
      <w:r w:rsidR="0012313D" w:rsidRP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о втором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2021 поступило 153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ст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атистика показывает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>что в сравнении с предыдущим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>и кварталами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жалоб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величилось, с первым кварталом текущего года на 40% (на 97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жалоб), 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со вторым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алом прошлого года на 24% (на 37</w:t>
      </w:r>
      <w:r w:rsidR="008016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жалоб).</w:t>
      </w:r>
    </w:p>
    <w:p w:rsidR="00B63742" w:rsidRDefault="0094010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   </w:t>
      </w:r>
      <w:r w:rsidR="006B5E6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BC437F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2022</w:t>
      </w:r>
      <w:r w:rsidR="00BC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17 запросов, </w:t>
      </w:r>
      <w:r w:rsidR="0012313D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13D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2B24FA" w:rsidRPr="00940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оса, а во втором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71298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40106" w:rsidRDefault="00B6374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 w:rsidR="00BC4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смс-сообщение во втором квартале текущего года поступило 15, в первом квартале таких обращений не поступало, а во втором квартале прошлого года поступило 6 обращений через смс-сообщение</w:t>
      </w:r>
      <w:r w:rsidR="006B5E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6271" w:rsidRDefault="00BC437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Во втором квартале 2022 года и первом квартале 2022</w:t>
      </w:r>
      <w:r w:rsidR="00FF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ложений не поступало, а во втором</w:t>
      </w:r>
      <w:r w:rsidR="00FF62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прошлого года поступило 1 предложение</w:t>
      </w:r>
      <w:r w:rsidR="00FF62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0492" w:rsidRDefault="0094010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bookmarkStart w:id="0" w:name="_GoBack"/>
      <w:r w:rsidR="005355A8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B0E1AD7" wp14:editId="47289B2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37F">
        <w:rPr>
          <w:rFonts w:ascii="Times New Roman" w:eastAsia="Times New Roman" w:hAnsi="Times New Roman"/>
          <w:sz w:val="28"/>
          <w:szCs w:val="28"/>
          <w:lang w:eastAsia="ru-RU"/>
        </w:rPr>
        <w:t>позволила во втором</w:t>
      </w:r>
      <w:r w:rsidR="0025762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F6271">
        <w:rPr>
          <w:rFonts w:ascii="Times New Roman" w:eastAsia="Times New Roman" w:hAnsi="Times New Roman"/>
          <w:sz w:val="28"/>
          <w:szCs w:val="28"/>
          <w:lang w:eastAsia="ru-RU"/>
        </w:rPr>
        <w:t xml:space="preserve">  2022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AA" w:rsidRDefault="00E071AA" w:rsidP="00160988">
      <w:r>
        <w:separator/>
      </w:r>
    </w:p>
  </w:endnote>
  <w:endnote w:type="continuationSeparator" w:id="0">
    <w:p w:rsidR="00E071AA" w:rsidRDefault="00E071AA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AA" w:rsidRDefault="00E071AA" w:rsidP="00160988">
      <w:r>
        <w:separator/>
      </w:r>
    </w:p>
  </w:footnote>
  <w:footnote w:type="continuationSeparator" w:id="0">
    <w:p w:rsidR="00E071AA" w:rsidRDefault="00E071AA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4883"/>
    <w:rsid w:val="00007740"/>
    <w:rsid w:val="00007837"/>
    <w:rsid w:val="00007ED6"/>
    <w:rsid w:val="00012019"/>
    <w:rsid w:val="00015162"/>
    <w:rsid w:val="000156C9"/>
    <w:rsid w:val="00015A4A"/>
    <w:rsid w:val="0001758E"/>
    <w:rsid w:val="0001773D"/>
    <w:rsid w:val="00020C55"/>
    <w:rsid w:val="000244F2"/>
    <w:rsid w:val="00024E7A"/>
    <w:rsid w:val="00031E95"/>
    <w:rsid w:val="000358A1"/>
    <w:rsid w:val="000416DE"/>
    <w:rsid w:val="00041B86"/>
    <w:rsid w:val="00042CA1"/>
    <w:rsid w:val="000450F6"/>
    <w:rsid w:val="000478ED"/>
    <w:rsid w:val="000503CA"/>
    <w:rsid w:val="00052458"/>
    <w:rsid w:val="00053C36"/>
    <w:rsid w:val="00054D7C"/>
    <w:rsid w:val="000749B7"/>
    <w:rsid w:val="00080AC5"/>
    <w:rsid w:val="0008792B"/>
    <w:rsid w:val="000A2EBA"/>
    <w:rsid w:val="000A2F63"/>
    <w:rsid w:val="000A72E5"/>
    <w:rsid w:val="000B1405"/>
    <w:rsid w:val="000B21E3"/>
    <w:rsid w:val="000B4DFF"/>
    <w:rsid w:val="000B6D65"/>
    <w:rsid w:val="000C5B71"/>
    <w:rsid w:val="000C7835"/>
    <w:rsid w:val="000C78D1"/>
    <w:rsid w:val="000D4585"/>
    <w:rsid w:val="000D7AD9"/>
    <w:rsid w:val="000D7FC9"/>
    <w:rsid w:val="000E4247"/>
    <w:rsid w:val="001122E4"/>
    <w:rsid w:val="00121724"/>
    <w:rsid w:val="0012313D"/>
    <w:rsid w:val="001257C6"/>
    <w:rsid w:val="001352DA"/>
    <w:rsid w:val="00136225"/>
    <w:rsid w:val="00142F4B"/>
    <w:rsid w:val="00143D13"/>
    <w:rsid w:val="00151179"/>
    <w:rsid w:val="00152F2D"/>
    <w:rsid w:val="00153698"/>
    <w:rsid w:val="00160988"/>
    <w:rsid w:val="0016103A"/>
    <w:rsid w:val="00161816"/>
    <w:rsid w:val="00165E4E"/>
    <w:rsid w:val="00176354"/>
    <w:rsid w:val="0018319B"/>
    <w:rsid w:val="001875A8"/>
    <w:rsid w:val="0019086E"/>
    <w:rsid w:val="00192FFE"/>
    <w:rsid w:val="0019453D"/>
    <w:rsid w:val="00194ECC"/>
    <w:rsid w:val="001A0031"/>
    <w:rsid w:val="001A67EA"/>
    <w:rsid w:val="001B2A9B"/>
    <w:rsid w:val="001B4C47"/>
    <w:rsid w:val="001B5849"/>
    <w:rsid w:val="001B6854"/>
    <w:rsid w:val="001B7274"/>
    <w:rsid w:val="001C0C2D"/>
    <w:rsid w:val="001C22D6"/>
    <w:rsid w:val="001C2FF2"/>
    <w:rsid w:val="001C3313"/>
    <w:rsid w:val="001C4D86"/>
    <w:rsid w:val="001C59BF"/>
    <w:rsid w:val="001C6DC6"/>
    <w:rsid w:val="001D3D71"/>
    <w:rsid w:val="001D44AF"/>
    <w:rsid w:val="001D70B9"/>
    <w:rsid w:val="001D79AD"/>
    <w:rsid w:val="001E0723"/>
    <w:rsid w:val="001E5C16"/>
    <w:rsid w:val="001F0A1E"/>
    <w:rsid w:val="001F1BAB"/>
    <w:rsid w:val="0020382D"/>
    <w:rsid w:val="00211341"/>
    <w:rsid w:val="00222282"/>
    <w:rsid w:val="00222F11"/>
    <w:rsid w:val="0022438D"/>
    <w:rsid w:val="00224BAB"/>
    <w:rsid w:val="00226F91"/>
    <w:rsid w:val="00237AE3"/>
    <w:rsid w:val="00246DCC"/>
    <w:rsid w:val="00250823"/>
    <w:rsid w:val="00252171"/>
    <w:rsid w:val="00253B5D"/>
    <w:rsid w:val="00254332"/>
    <w:rsid w:val="00257628"/>
    <w:rsid w:val="00257881"/>
    <w:rsid w:val="00272C7B"/>
    <w:rsid w:val="00277AC2"/>
    <w:rsid w:val="00280002"/>
    <w:rsid w:val="00285474"/>
    <w:rsid w:val="00285FBC"/>
    <w:rsid w:val="002916AA"/>
    <w:rsid w:val="00291875"/>
    <w:rsid w:val="00291A6F"/>
    <w:rsid w:val="0029267B"/>
    <w:rsid w:val="00292E98"/>
    <w:rsid w:val="00293ED5"/>
    <w:rsid w:val="00297CDF"/>
    <w:rsid w:val="002A500A"/>
    <w:rsid w:val="002A5F99"/>
    <w:rsid w:val="002A6B43"/>
    <w:rsid w:val="002B24FA"/>
    <w:rsid w:val="002B4FFC"/>
    <w:rsid w:val="002B6501"/>
    <w:rsid w:val="002C0697"/>
    <w:rsid w:val="002C672A"/>
    <w:rsid w:val="002C6972"/>
    <w:rsid w:val="002D0BEB"/>
    <w:rsid w:val="002D2D48"/>
    <w:rsid w:val="002D2E00"/>
    <w:rsid w:val="002D5CEC"/>
    <w:rsid w:val="002E0B73"/>
    <w:rsid w:val="002E35D6"/>
    <w:rsid w:val="002E6D85"/>
    <w:rsid w:val="002F379C"/>
    <w:rsid w:val="002F42B5"/>
    <w:rsid w:val="002F4D22"/>
    <w:rsid w:val="00301091"/>
    <w:rsid w:val="0030147D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70906"/>
    <w:rsid w:val="00370B6C"/>
    <w:rsid w:val="0037273B"/>
    <w:rsid w:val="003747B6"/>
    <w:rsid w:val="00375CCD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33E6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630EB"/>
    <w:rsid w:val="004740ED"/>
    <w:rsid w:val="00480623"/>
    <w:rsid w:val="00486C8E"/>
    <w:rsid w:val="0049484B"/>
    <w:rsid w:val="004949D7"/>
    <w:rsid w:val="004A51AA"/>
    <w:rsid w:val="004C1B00"/>
    <w:rsid w:val="004C6020"/>
    <w:rsid w:val="004D04F9"/>
    <w:rsid w:val="004D62B0"/>
    <w:rsid w:val="004E0B78"/>
    <w:rsid w:val="004E5F1B"/>
    <w:rsid w:val="004E6FC9"/>
    <w:rsid w:val="004F2497"/>
    <w:rsid w:val="004F359C"/>
    <w:rsid w:val="004F3999"/>
    <w:rsid w:val="00507E8C"/>
    <w:rsid w:val="00510E61"/>
    <w:rsid w:val="00511E6C"/>
    <w:rsid w:val="005202D6"/>
    <w:rsid w:val="0052240B"/>
    <w:rsid w:val="00526167"/>
    <w:rsid w:val="00527B63"/>
    <w:rsid w:val="00530408"/>
    <w:rsid w:val="005341EA"/>
    <w:rsid w:val="00534C3C"/>
    <w:rsid w:val="005355A8"/>
    <w:rsid w:val="00535811"/>
    <w:rsid w:val="00542859"/>
    <w:rsid w:val="00545611"/>
    <w:rsid w:val="00546D80"/>
    <w:rsid w:val="00556C8E"/>
    <w:rsid w:val="0055748A"/>
    <w:rsid w:val="00560F46"/>
    <w:rsid w:val="0056796B"/>
    <w:rsid w:val="005735CB"/>
    <w:rsid w:val="00574CD3"/>
    <w:rsid w:val="00576053"/>
    <w:rsid w:val="00577801"/>
    <w:rsid w:val="00591065"/>
    <w:rsid w:val="00591D33"/>
    <w:rsid w:val="00592E32"/>
    <w:rsid w:val="005A0615"/>
    <w:rsid w:val="005B3607"/>
    <w:rsid w:val="005B7DC5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E7283"/>
    <w:rsid w:val="005F1099"/>
    <w:rsid w:val="005F72F9"/>
    <w:rsid w:val="00601D5F"/>
    <w:rsid w:val="006054A7"/>
    <w:rsid w:val="006131EB"/>
    <w:rsid w:val="00622A08"/>
    <w:rsid w:val="00622AA4"/>
    <w:rsid w:val="00623287"/>
    <w:rsid w:val="006247F8"/>
    <w:rsid w:val="00625CAD"/>
    <w:rsid w:val="00632488"/>
    <w:rsid w:val="00634EDD"/>
    <w:rsid w:val="0063572F"/>
    <w:rsid w:val="00643B30"/>
    <w:rsid w:val="0064549A"/>
    <w:rsid w:val="00650E40"/>
    <w:rsid w:val="00650EF6"/>
    <w:rsid w:val="0065272A"/>
    <w:rsid w:val="0066636B"/>
    <w:rsid w:val="006676C6"/>
    <w:rsid w:val="00675725"/>
    <w:rsid w:val="00675A3A"/>
    <w:rsid w:val="00685DB4"/>
    <w:rsid w:val="00687858"/>
    <w:rsid w:val="00696DBF"/>
    <w:rsid w:val="006A306D"/>
    <w:rsid w:val="006B2FD6"/>
    <w:rsid w:val="006B5E6B"/>
    <w:rsid w:val="006C507C"/>
    <w:rsid w:val="006E2319"/>
    <w:rsid w:val="006E2CA8"/>
    <w:rsid w:val="006E6D46"/>
    <w:rsid w:val="006F199A"/>
    <w:rsid w:val="006F42AB"/>
    <w:rsid w:val="006F461C"/>
    <w:rsid w:val="00700CAC"/>
    <w:rsid w:val="0070280C"/>
    <w:rsid w:val="007035EF"/>
    <w:rsid w:val="00704029"/>
    <w:rsid w:val="0070484B"/>
    <w:rsid w:val="007116B4"/>
    <w:rsid w:val="0071298B"/>
    <w:rsid w:val="00714206"/>
    <w:rsid w:val="00717A7E"/>
    <w:rsid w:val="00731B0A"/>
    <w:rsid w:val="00732209"/>
    <w:rsid w:val="00733010"/>
    <w:rsid w:val="0075441F"/>
    <w:rsid w:val="00755CDE"/>
    <w:rsid w:val="00762670"/>
    <w:rsid w:val="00765B18"/>
    <w:rsid w:val="00770492"/>
    <w:rsid w:val="00773CB3"/>
    <w:rsid w:val="00774603"/>
    <w:rsid w:val="007751AD"/>
    <w:rsid w:val="00776AD5"/>
    <w:rsid w:val="007821F2"/>
    <w:rsid w:val="007871AA"/>
    <w:rsid w:val="00792D7F"/>
    <w:rsid w:val="00793958"/>
    <w:rsid w:val="00796015"/>
    <w:rsid w:val="00797186"/>
    <w:rsid w:val="007A2618"/>
    <w:rsid w:val="007A6A82"/>
    <w:rsid w:val="007B2F44"/>
    <w:rsid w:val="007B3CB3"/>
    <w:rsid w:val="007B6D35"/>
    <w:rsid w:val="007C0D79"/>
    <w:rsid w:val="007D525B"/>
    <w:rsid w:val="007D5A47"/>
    <w:rsid w:val="007D60D2"/>
    <w:rsid w:val="007D734A"/>
    <w:rsid w:val="007E220F"/>
    <w:rsid w:val="007E255F"/>
    <w:rsid w:val="007E5485"/>
    <w:rsid w:val="007F178E"/>
    <w:rsid w:val="007F1EBA"/>
    <w:rsid w:val="007F21C7"/>
    <w:rsid w:val="007F74BB"/>
    <w:rsid w:val="00801636"/>
    <w:rsid w:val="008022CA"/>
    <w:rsid w:val="00803FD4"/>
    <w:rsid w:val="00810453"/>
    <w:rsid w:val="00810A1A"/>
    <w:rsid w:val="00811370"/>
    <w:rsid w:val="008118E4"/>
    <w:rsid w:val="0081571B"/>
    <w:rsid w:val="00816D16"/>
    <w:rsid w:val="00824A81"/>
    <w:rsid w:val="008348D5"/>
    <w:rsid w:val="00836983"/>
    <w:rsid w:val="00837726"/>
    <w:rsid w:val="0084307B"/>
    <w:rsid w:val="00846363"/>
    <w:rsid w:val="0085430A"/>
    <w:rsid w:val="00857C5C"/>
    <w:rsid w:val="00861946"/>
    <w:rsid w:val="008648A2"/>
    <w:rsid w:val="008653AC"/>
    <w:rsid w:val="008657F8"/>
    <w:rsid w:val="00870655"/>
    <w:rsid w:val="00877AAD"/>
    <w:rsid w:val="00880B1E"/>
    <w:rsid w:val="0088101D"/>
    <w:rsid w:val="008815BB"/>
    <w:rsid w:val="00885B34"/>
    <w:rsid w:val="008A50FC"/>
    <w:rsid w:val="008A5FB2"/>
    <w:rsid w:val="008B6298"/>
    <w:rsid w:val="008C0850"/>
    <w:rsid w:val="008C7315"/>
    <w:rsid w:val="008D3FA8"/>
    <w:rsid w:val="008D7FE4"/>
    <w:rsid w:val="008E4CC3"/>
    <w:rsid w:val="00905B2B"/>
    <w:rsid w:val="00912514"/>
    <w:rsid w:val="00912B26"/>
    <w:rsid w:val="00915A0A"/>
    <w:rsid w:val="0091620E"/>
    <w:rsid w:val="00920A46"/>
    <w:rsid w:val="00937FA6"/>
    <w:rsid w:val="00940106"/>
    <w:rsid w:val="009434DC"/>
    <w:rsid w:val="009518E7"/>
    <w:rsid w:val="00951CAC"/>
    <w:rsid w:val="00951E92"/>
    <w:rsid w:val="00954C92"/>
    <w:rsid w:val="00961BFE"/>
    <w:rsid w:val="0096356B"/>
    <w:rsid w:val="00964710"/>
    <w:rsid w:val="009650D9"/>
    <w:rsid w:val="00975F15"/>
    <w:rsid w:val="00981FF1"/>
    <w:rsid w:val="0098635E"/>
    <w:rsid w:val="00995628"/>
    <w:rsid w:val="00996E36"/>
    <w:rsid w:val="009A4E57"/>
    <w:rsid w:val="009C1BC5"/>
    <w:rsid w:val="009C68FB"/>
    <w:rsid w:val="009D34B9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5E4E"/>
    <w:rsid w:val="00A768DA"/>
    <w:rsid w:val="00A76933"/>
    <w:rsid w:val="00A80628"/>
    <w:rsid w:val="00A84678"/>
    <w:rsid w:val="00A97924"/>
    <w:rsid w:val="00AA117F"/>
    <w:rsid w:val="00AB361D"/>
    <w:rsid w:val="00AC78B6"/>
    <w:rsid w:val="00AD0BD2"/>
    <w:rsid w:val="00AD1C65"/>
    <w:rsid w:val="00AD34B1"/>
    <w:rsid w:val="00AF402C"/>
    <w:rsid w:val="00B0111E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091C"/>
    <w:rsid w:val="00B63358"/>
    <w:rsid w:val="00B63742"/>
    <w:rsid w:val="00B64A72"/>
    <w:rsid w:val="00B74B8E"/>
    <w:rsid w:val="00B80E44"/>
    <w:rsid w:val="00B8112D"/>
    <w:rsid w:val="00B817BC"/>
    <w:rsid w:val="00B829B7"/>
    <w:rsid w:val="00B8509C"/>
    <w:rsid w:val="00B91FE1"/>
    <w:rsid w:val="00B9638B"/>
    <w:rsid w:val="00BA4266"/>
    <w:rsid w:val="00BA6A76"/>
    <w:rsid w:val="00BA7B2C"/>
    <w:rsid w:val="00BA7B3B"/>
    <w:rsid w:val="00BB561A"/>
    <w:rsid w:val="00BB5EE7"/>
    <w:rsid w:val="00BC437F"/>
    <w:rsid w:val="00BC4486"/>
    <w:rsid w:val="00BC7755"/>
    <w:rsid w:val="00BD173F"/>
    <w:rsid w:val="00BD6F7E"/>
    <w:rsid w:val="00BE2D34"/>
    <w:rsid w:val="00BE2E62"/>
    <w:rsid w:val="00BE3920"/>
    <w:rsid w:val="00BE7809"/>
    <w:rsid w:val="00BF3545"/>
    <w:rsid w:val="00BF4D42"/>
    <w:rsid w:val="00BF7AC9"/>
    <w:rsid w:val="00C131FE"/>
    <w:rsid w:val="00C253C4"/>
    <w:rsid w:val="00C37395"/>
    <w:rsid w:val="00C45622"/>
    <w:rsid w:val="00C45B8F"/>
    <w:rsid w:val="00C56D5D"/>
    <w:rsid w:val="00C57C79"/>
    <w:rsid w:val="00C60261"/>
    <w:rsid w:val="00C611DC"/>
    <w:rsid w:val="00C64AB2"/>
    <w:rsid w:val="00C82181"/>
    <w:rsid w:val="00C831A7"/>
    <w:rsid w:val="00C850B6"/>
    <w:rsid w:val="00C85755"/>
    <w:rsid w:val="00C95560"/>
    <w:rsid w:val="00CA0235"/>
    <w:rsid w:val="00CA035F"/>
    <w:rsid w:val="00CA2B23"/>
    <w:rsid w:val="00CA31D3"/>
    <w:rsid w:val="00CA5376"/>
    <w:rsid w:val="00CB5F95"/>
    <w:rsid w:val="00CB6568"/>
    <w:rsid w:val="00CC20D9"/>
    <w:rsid w:val="00CD2836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24A5D"/>
    <w:rsid w:val="00D32AFA"/>
    <w:rsid w:val="00D32E8F"/>
    <w:rsid w:val="00D33F30"/>
    <w:rsid w:val="00D340D7"/>
    <w:rsid w:val="00D35299"/>
    <w:rsid w:val="00D35C28"/>
    <w:rsid w:val="00D40975"/>
    <w:rsid w:val="00D41C2A"/>
    <w:rsid w:val="00D72F52"/>
    <w:rsid w:val="00D76556"/>
    <w:rsid w:val="00D7756A"/>
    <w:rsid w:val="00D801A3"/>
    <w:rsid w:val="00D83981"/>
    <w:rsid w:val="00D85427"/>
    <w:rsid w:val="00D85437"/>
    <w:rsid w:val="00D90969"/>
    <w:rsid w:val="00D97330"/>
    <w:rsid w:val="00D97470"/>
    <w:rsid w:val="00D97D0C"/>
    <w:rsid w:val="00DA0B77"/>
    <w:rsid w:val="00DA1CA2"/>
    <w:rsid w:val="00DA3E39"/>
    <w:rsid w:val="00DA4A54"/>
    <w:rsid w:val="00DC541A"/>
    <w:rsid w:val="00DC5DC3"/>
    <w:rsid w:val="00DC6BDE"/>
    <w:rsid w:val="00DC797E"/>
    <w:rsid w:val="00DD505D"/>
    <w:rsid w:val="00DD729A"/>
    <w:rsid w:val="00DD778E"/>
    <w:rsid w:val="00DD77D7"/>
    <w:rsid w:val="00DE0614"/>
    <w:rsid w:val="00DE3DB1"/>
    <w:rsid w:val="00DE48BB"/>
    <w:rsid w:val="00DF3894"/>
    <w:rsid w:val="00DF6013"/>
    <w:rsid w:val="00E00A0A"/>
    <w:rsid w:val="00E0326D"/>
    <w:rsid w:val="00E05C54"/>
    <w:rsid w:val="00E071AA"/>
    <w:rsid w:val="00E07A24"/>
    <w:rsid w:val="00E1076B"/>
    <w:rsid w:val="00E1204E"/>
    <w:rsid w:val="00E21C67"/>
    <w:rsid w:val="00E27E48"/>
    <w:rsid w:val="00E316DE"/>
    <w:rsid w:val="00E40003"/>
    <w:rsid w:val="00E40CC0"/>
    <w:rsid w:val="00E44137"/>
    <w:rsid w:val="00E51A9E"/>
    <w:rsid w:val="00E52233"/>
    <w:rsid w:val="00E52E82"/>
    <w:rsid w:val="00E53762"/>
    <w:rsid w:val="00E646D3"/>
    <w:rsid w:val="00E66E8B"/>
    <w:rsid w:val="00E747A5"/>
    <w:rsid w:val="00E81276"/>
    <w:rsid w:val="00E860E1"/>
    <w:rsid w:val="00E90081"/>
    <w:rsid w:val="00E91F0C"/>
    <w:rsid w:val="00E9287A"/>
    <w:rsid w:val="00E93EE4"/>
    <w:rsid w:val="00E97548"/>
    <w:rsid w:val="00EA7017"/>
    <w:rsid w:val="00EB0EBD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43C9"/>
    <w:rsid w:val="00F25BE4"/>
    <w:rsid w:val="00F27932"/>
    <w:rsid w:val="00F30A77"/>
    <w:rsid w:val="00F34135"/>
    <w:rsid w:val="00F36EFB"/>
    <w:rsid w:val="00F41956"/>
    <w:rsid w:val="00F500FF"/>
    <w:rsid w:val="00F5581D"/>
    <w:rsid w:val="00F55981"/>
    <w:rsid w:val="00F5601F"/>
    <w:rsid w:val="00F57FA1"/>
    <w:rsid w:val="00F64BFB"/>
    <w:rsid w:val="00F6640C"/>
    <w:rsid w:val="00F666E7"/>
    <w:rsid w:val="00F67224"/>
    <w:rsid w:val="00F82F57"/>
    <w:rsid w:val="00F876F6"/>
    <w:rsid w:val="00F93327"/>
    <w:rsid w:val="00F9724F"/>
    <w:rsid w:val="00FB16CA"/>
    <w:rsid w:val="00FB20F7"/>
    <w:rsid w:val="00FB42B6"/>
    <w:rsid w:val="00FB5F0F"/>
    <w:rsid w:val="00FC1A6F"/>
    <w:rsid w:val="00FC2493"/>
    <w:rsid w:val="00FC5303"/>
    <w:rsid w:val="00FC62D1"/>
    <w:rsid w:val="00FC6AD6"/>
    <w:rsid w:val="00FD5095"/>
    <w:rsid w:val="00FD60B6"/>
    <w:rsid w:val="00FE16D5"/>
    <w:rsid w:val="00FE254A"/>
    <w:rsid w:val="00FE2761"/>
    <w:rsid w:val="00FE2EA8"/>
    <w:rsid w:val="00FE521E"/>
    <w:rsid w:val="00FE5EA5"/>
    <w:rsid w:val="00FF143E"/>
    <w:rsid w:val="00FF6271"/>
    <w:rsid w:val="00FF63A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о втром квартале</a:t>
            </a:r>
            <a:r>
              <a:rPr lang="ru-RU" sz="1200"/>
              <a:t> 2022 года в сравнении с</a:t>
            </a:r>
            <a:r>
              <a:rPr lang="ru-RU" sz="1200" baseline="0"/>
              <a:t> первым</a:t>
            </a:r>
            <a:r>
              <a:rPr lang="ru-RU" sz="1200"/>
              <a:t>  кварталом </a:t>
            </a:r>
            <a:r>
              <a:rPr lang="ru-RU" sz="1200" baseline="0"/>
              <a:t> 2022</a:t>
            </a:r>
            <a:r>
              <a:rPr lang="ru-RU" sz="1200"/>
              <a:t> года  </a:t>
            </a:r>
          </a:p>
          <a:p>
            <a:pPr>
              <a:defRPr/>
            </a:pPr>
            <a:r>
              <a:rPr lang="ru-RU" sz="1200"/>
              <a:t>и 2 кварталом 2021 года  </a:t>
            </a:r>
          </a:p>
        </c:rich>
      </c:tx>
      <c:layout>
        <c:manualLayout>
          <c:xMode val="edge"/>
          <c:yMode val="edge"/>
          <c:x val="0.1265165641043586"/>
          <c:y val="3.7027241470510446E-2"/>
        </c:manualLayout>
      </c:layout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strRef>
              <c:f>Лист1!$A$2:$A$5</c:f>
              <c:strCache>
                <c:ptCount val="4"/>
                <c:pt idx="1">
                  <c:v>2 квартал 2022 года</c:v>
                </c:pt>
                <c:pt idx="2">
                  <c:v>1 квартал 2022 года</c:v>
                </c:pt>
                <c:pt idx="3">
                  <c:v>2 квартал 2021 года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1">
                  <c:v>429</c:v>
                </c:pt>
                <c:pt idx="2">
                  <c:v>274</c:v>
                </c:pt>
                <c:pt idx="3">
                  <c:v>434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105536"/>
        <c:axId val="49107328"/>
      </c:scatterChart>
      <c:valAx>
        <c:axId val="4910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49107328"/>
        <c:crosses val="autoZero"/>
        <c:crossBetween val="midCat"/>
      </c:valAx>
      <c:valAx>
        <c:axId val="4910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105536"/>
        <c:crosses val="autoZero"/>
        <c:crossBetween val="midCat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во втором квартале 2022 года, в сравнени  с первым  кварталом  2022 года и вторым кварталом 2021 года</a:t>
            </a:r>
            <a:endParaRPr lang="ru-RU" sz="1200"/>
          </a:p>
        </c:rich>
      </c:tx>
      <c:layout>
        <c:manualLayout>
          <c:xMode val="edge"/>
          <c:yMode val="edge"/>
          <c:x val="0.1342954947572052"/>
          <c:y val="1.72532781228433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125</c:v>
                </c:pt>
                <c:pt idx="2">
                  <c:v>304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2022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135</c:v>
                </c:pt>
                <c:pt idx="2">
                  <c:v>241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 квартал 2021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124</c:v>
                </c:pt>
                <c:pt idx="2">
                  <c:v>301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78135680"/>
        <c:axId val="78137216"/>
        <c:axId val="0"/>
      </c:bar3DChart>
      <c:catAx>
        <c:axId val="78135680"/>
        <c:scaling>
          <c:orientation val="minMax"/>
        </c:scaling>
        <c:delete val="0"/>
        <c:axPos val="l"/>
        <c:majorGridlines/>
        <c:minorGridlines/>
        <c:majorTickMark val="none"/>
        <c:minorTickMark val="none"/>
        <c:tickLblPos val="nextTo"/>
        <c:crossAx val="78137216"/>
        <c:crosses val="autoZero"/>
        <c:auto val="1"/>
        <c:lblAlgn val="ctr"/>
        <c:lblOffset val="100"/>
        <c:noMultiLvlLbl val="0"/>
      </c:catAx>
      <c:valAx>
        <c:axId val="78137216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7813568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во втором квартале 2022 года в сравнении с первым кварталом 2022 года и  со вторым кварталом 2021 года </a:t>
            </a:r>
            <a:endParaRPr lang="ru-RU" sz="1200"/>
          </a:p>
        </c:rich>
      </c:tx>
      <c:layout>
        <c:manualLayout>
          <c:xMode val="edge"/>
          <c:yMode val="edge"/>
          <c:x val="0.12260802696285213"/>
          <c:y val="2.203856749311294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16779673374163"/>
          <c:y val="0.19580668376483423"/>
          <c:w val="0.72994331437736959"/>
          <c:h val="0.538229283839520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289</c:v>
                </c:pt>
                <c:pt idx="1">
                  <c:v>10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2022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241</c:v>
                </c:pt>
                <c:pt idx="1">
                  <c:v>0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2021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241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8729216"/>
        <c:axId val="78730752"/>
        <c:axId val="0"/>
      </c:bar3DChart>
      <c:catAx>
        <c:axId val="78729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78730752"/>
        <c:crosses val="autoZero"/>
        <c:auto val="1"/>
        <c:lblAlgn val="ctr"/>
        <c:lblOffset val="100"/>
        <c:noMultiLvlLbl val="0"/>
      </c:catAx>
      <c:valAx>
        <c:axId val="78730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872921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во втором  квартале 2022 года в сравнении с первым  кварталом 2022 года и со вторым  кварталом 2021 года</a:t>
            </a:r>
            <a:endParaRPr lang="ru-RU" sz="1200"/>
          </a:p>
        </c:rich>
      </c:tx>
      <c:layout>
        <c:manualLayout>
          <c:xMode val="edge"/>
          <c:yMode val="edge"/>
          <c:x val="0.14037037037037037"/>
          <c:y val="4.379390076240469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2022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</c:v>
                </c:pt>
                <c:pt idx="1">
                  <c:v>190</c:v>
                </c:pt>
                <c:pt idx="2">
                  <c:v>0</c:v>
                </c:pt>
                <c:pt idx="3">
                  <c:v>17</c:v>
                </c:pt>
                <c:pt idx="4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2022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145</c:v>
                </c:pt>
                <c:pt idx="1">
                  <c:v>93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2021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124</c:v>
                </c:pt>
                <c:pt idx="1">
                  <c:v>153</c:v>
                </c:pt>
                <c:pt idx="2">
                  <c:v>1</c:v>
                </c:pt>
                <c:pt idx="3">
                  <c:v>16</c:v>
                </c:pt>
                <c:pt idx="4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8753152"/>
        <c:axId val="78783616"/>
        <c:axId val="0"/>
      </c:bar3DChart>
      <c:catAx>
        <c:axId val="78753152"/>
        <c:scaling>
          <c:orientation val="minMax"/>
        </c:scaling>
        <c:delete val="0"/>
        <c:axPos val="b"/>
        <c:majorTickMark val="none"/>
        <c:minorTickMark val="none"/>
        <c:tickLblPos val="nextTo"/>
        <c:crossAx val="78783616"/>
        <c:crosses val="autoZero"/>
        <c:auto val="1"/>
        <c:lblAlgn val="ctr"/>
        <c:lblOffset val="100"/>
        <c:noMultiLvlLbl val="0"/>
      </c:catAx>
      <c:valAx>
        <c:axId val="787836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8753152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72E3-7F37-4F73-94B4-C0E816048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6377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1</cp:lastModifiedBy>
  <cp:revision>22</cp:revision>
  <cp:lastPrinted>2022-10-07T08:25:00Z</cp:lastPrinted>
  <dcterms:created xsi:type="dcterms:W3CDTF">2022-10-04T03:14:00Z</dcterms:created>
  <dcterms:modified xsi:type="dcterms:W3CDTF">2023-01-28T09:07:00Z</dcterms:modified>
</cp:coreProperties>
</file>