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C45622">
        <w:rPr>
          <w:rFonts w:ascii="Times New Roman" w:eastAsia="Times New Roman" w:hAnsi="Times New Roman"/>
          <w:b/>
          <w:sz w:val="28"/>
          <w:szCs w:val="28"/>
          <w:lang w:eastAsia="ru-RU"/>
        </w:rPr>
        <w:t>в</w:t>
      </w:r>
      <w:r w:rsidR="002E35D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AF4A6A">
        <w:rPr>
          <w:rFonts w:ascii="Times New Roman" w:eastAsia="Times New Roman" w:hAnsi="Times New Roman"/>
          <w:b/>
          <w:sz w:val="28"/>
          <w:szCs w:val="28"/>
          <w:lang w:eastAsia="ru-RU"/>
        </w:rPr>
        <w:t>2022</w:t>
      </w:r>
      <w:r w:rsidR="007D3254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году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2D5CEC" w:rsidP="007E5485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D7F8A" w:rsidRDefault="00ED7F8A" w:rsidP="007E5485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</w:t>
      </w:r>
    </w:p>
    <w:p w:rsidR="00605881" w:rsidRPr="001E17DE" w:rsidRDefault="00112046" w:rsidP="00112046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560F46"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="00560F46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7D3254">
        <w:rPr>
          <w:rFonts w:ascii="Times New Roman" w:hAnsi="Times New Roman" w:cs="Times New Roman"/>
          <w:b/>
          <w:sz w:val="28"/>
          <w:szCs w:val="28"/>
        </w:rPr>
        <w:t>01</w:t>
      </w:r>
      <w:r w:rsidR="004F5592">
        <w:rPr>
          <w:rFonts w:ascii="Times New Roman" w:hAnsi="Times New Roman" w:cs="Times New Roman"/>
          <w:b/>
          <w:sz w:val="28"/>
          <w:szCs w:val="28"/>
        </w:rPr>
        <w:t>.2022</w:t>
      </w:r>
      <w:r w:rsidR="00B12074">
        <w:rPr>
          <w:rFonts w:ascii="Times New Roman" w:hAnsi="Times New Roman" w:cs="Times New Roman"/>
          <w:b/>
          <w:sz w:val="28"/>
          <w:szCs w:val="28"/>
        </w:rPr>
        <w:t xml:space="preserve">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B12074">
        <w:rPr>
          <w:rFonts w:ascii="Times New Roman" w:hAnsi="Times New Roman" w:cs="Times New Roman"/>
          <w:b/>
          <w:sz w:val="28"/>
          <w:szCs w:val="28"/>
        </w:rPr>
        <w:t>12</w:t>
      </w:r>
      <w:r w:rsidR="004F5592">
        <w:rPr>
          <w:rFonts w:ascii="Times New Roman" w:hAnsi="Times New Roman" w:cs="Times New Roman"/>
          <w:b/>
          <w:sz w:val="28"/>
          <w:szCs w:val="28"/>
        </w:rPr>
        <w:t>.2022</w:t>
      </w:r>
      <w:r w:rsidR="00560F46"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 w:rsidR="00560F46"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BD6F7E">
        <w:rPr>
          <w:rFonts w:ascii="Times New Roman" w:hAnsi="Times New Roman" w:cs="Times New Roman"/>
          <w:sz w:val="28"/>
          <w:szCs w:val="28"/>
        </w:rPr>
        <w:t>в</w:t>
      </w:r>
      <w:r w:rsidR="001A0031">
        <w:rPr>
          <w:rFonts w:ascii="Times New Roman" w:hAnsi="Times New Roman" w:cs="Times New Roman"/>
          <w:sz w:val="28"/>
          <w:szCs w:val="28"/>
        </w:rPr>
        <w:t xml:space="preserve">осибирской области поступило </w:t>
      </w:r>
      <w:r w:rsidR="00661D60">
        <w:rPr>
          <w:rFonts w:ascii="Times New Roman" w:hAnsi="Times New Roman" w:cs="Times New Roman"/>
          <w:sz w:val="28"/>
          <w:szCs w:val="28"/>
        </w:rPr>
        <w:t>1449</w:t>
      </w:r>
      <w:r w:rsidR="00CD4096">
        <w:rPr>
          <w:rFonts w:ascii="Times New Roman" w:hAnsi="Times New Roman" w:cs="Times New Roman"/>
          <w:sz w:val="28"/>
          <w:szCs w:val="28"/>
        </w:rPr>
        <w:t xml:space="preserve"> обращений граждан,</w:t>
      </w:r>
      <w:r w:rsidR="004F5592">
        <w:rPr>
          <w:rFonts w:ascii="Times New Roman" w:hAnsi="Times New Roman" w:cs="Times New Roman"/>
          <w:sz w:val="28"/>
          <w:szCs w:val="28"/>
        </w:rPr>
        <w:t xml:space="preserve"> в 2021 году поступило 1786</w:t>
      </w:r>
      <w:r w:rsidR="00ED694C">
        <w:rPr>
          <w:rFonts w:ascii="Times New Roman" w:hAnsi="Times New Roman" w:cs="Times New Roman"/>
          <w:sz w:val="28"/>
          <w:szCs w:val="28"/>
        </w:rPr>
        <w:t xml:space="preserve"> обращений,</w:t>
      </w:r>
      <w:r w:rsidR="004F5592">
        <w:rPr>
          <w:rFonts w:ascii="Times New Roman" w:hAnsi="Times New Roman" w:cs="Times New Roman"/>
          <w:sz w:val="28"/>
          <w:szCs w:val="28"/>
        </w:rPr>
        <w:t xml:space="preserve"> в 2020 году поступило 1358</w:t>
      </w:r>
      <w:r w:rsidR="00605881">
        <w:rPr>
          <w:rFonts w:ascii="Times New Roman" w:hAnsi="Times New Roman" w:cs="Times New Roman"/>
          <w:sz w:val="28"/>
          <w:szCs w:val="28"/>
        </w:rPr>
        <w:t xml:space="preserve"> обращений. </w:t>
      </w:r>
      <w:proofErr w:type="gramStart"/>
      <w:r w:rsidR="00605881">
        <w:rPr>
          <w:rFonts w:ascii="Times New Roman" w:hAnsi="Times New Roman" w:cs="Times New Roman"/>
          <w:sz w:val="28"/>
          <w:szCs w:val="28"/>
        </w:rPr>
        <w:t xml:space="preserve">В </w:t>
      </w:r>
      <w:r w:rsidR="0039484B">
        <w:rPr>
          <w:rFonts w:ascii="Times New Roman" w:hAnsi="Times New Roman" w:cs="Times New Roman"/>
          <w:sz w:val="28"/>
          <w:szCs w:val="28"/>
        </w:rPr>
        <w:t>2022 году количество обращений уменьшилось с 2021 годом на 19% (на 337 обращений), с 2020 годом количество поступивших обращений увеличилось на 6% (на 91 обращение).</w:t>
      </w:r>
      <w:proofErr w:type="gramEnd"/>
    </w:p>
    <w:p w:rsidR="007D3254" w:rsidRDefault="007D3254" w:rsidP="007E5485">
      <w:pPr>
        <w:autoSpaceDE w:val="0"/>
        <w:autoSpaceDN w:val="0"/>
        <w:spacing w:line="276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18319B" w:rsidRDefault="0018319B" w:rsidP="007E548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4C1B00" w:rsidRPr="00611BFE" w:rsidRDefault="001A0031" w:rsidP="00611BFE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</w:rPr>
        <w:sectPr w:rsidR="004C1B00" w:rsidRPr="00611BFE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 </w:t>
      </w:r>
      <w:r w:rsidR="00065ACC"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285539" cy="2935301"/>
            <wp:effectExtent l="0" t="0" r="1270" b="0"/>
            <wp:docPr id="6" name="Диаграмма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0A2EBA" w:rsidRDefault="000A2EBA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611BFE" w:rsidRDefault="00611BFE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62CB9" w:rsidRPr="00B62CB9" w:rsidRDefault="00611BFE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  </w:t>
      </w:r>
      <w:r w:rsidR="0039484B"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1F51F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поступило</w:t>
      </w:r>
      <w:r w:rsidR="0039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410</w:t>
      </w:r>
      <w:r w:rsidR="00EB25D1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A87AEE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53762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 </w:t>
      </w:r>
      <w:r w:rsidR="007116B4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041B86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39484B">
        <w:rPr>
          <w:rFonts w:ascii="Times New Roman" w:hAnsi="Times New Roman" w:cs="Times New Roman"/>
          <w:color w:val="000000" w:themeColor="text1"/>
          <w:sz w:val="28"/>
          <w:szCs w:val="28"/>
        </w:rPr>
        <w:t>, в 2021 году 509 обращений</w:t>
      </w:r>
      <w:r w:rsidR="00A87A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39484B">
        <w:rPr>
          <w:rFonts w:ascii="Times New Roman" w:hAnsi="Times New Roman" w:cs="Times New Roman"/>
          <w:color w:val="000000" w:themeColor="text1"/>
          <w:sz w:val="28"/>
          <w:szCs w:val="28"/>
        </w:rPr>
        <w:t>а в 2020</w:t>
      </w:r>
      <w:r w:rsidR="00EC0F7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39484B">
        <w:rPr>
          <w:rFonts w:ascii="Times New Roman" w:hAnsi="Times New Roman" w:cs="Times New Roman"/>
          <w:color w:val="000000" w:themeColor="text1"/>
          <w:sz w:val="28"/>
          <w:szCs w:val="28"/>
        </w:rPr>
        <w:t>673 обращения. В 2022</w:t>
      </w:r>
      <w:r w:rsidR="00BD0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количество обращений из приемной Губернатора уменьшилось, с прошлым годом на</w:t>
      </w:r>
      <w:r w:rsidR="003948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19</w:t>
      </w:r>
      <w:r w:rsidR="001F51F0">
        <w:rPr>
          <w:rFonts w:ascii="Times New Roman" w:hAnsi="Times New Roman" w:cs="Times New Roman"/>
          <w:color w:val="000000" w:themeColor="text1"/>
          <w:sz w:val="28"/>
          <w:szCs w:val="28"/>
        </w:rPr>
        <w:t>%</w:t>
      </w:r>
      <w:r w:rsidR="00BD01D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39484B">
        <w:rPr>
          <w:rFonts w:ascii="Times New Roman" w:hAnsi="Times New Roman" w:cs="Times New Roman"/>
          <w:color w:val="000000" w:themeColor="text1"/>
          <w:sz w:val="28"/>
          <w:szCs w:val="28"/>
        </w:rPr>
        <w:t>(на 99 обращения), с 2020</w:t>
      </w:r>
      <w:r w:rsidR="00FF7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годом на 39% (на 263 обращения</w:t>
      </w:r>
      <w:r w:rsidR="001F51F0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4C0D9C" w:rsidRDefault="00B62CB9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122A1" w:rsidRPr="004C0D9C">
        <w:rPr>
          <w:rFonts w:ascii="Times New Roman" w:hAnsi="Times New Roman" w:cs="Times New Roman"/>
          <w:color w:val="000000" w:themeColor="text1"/>
          <w:sz w:val="28"/>
          <w:szCs w:val="28"/>
        </w:rPr>
        <w:t>Непо</w:t>
      </w:r>
      <w:r w:rsidR="00A21AAF" w:rsidRPr="004C0D9C">
        <w:rPr>
          <w:rFonts w:ascii="Times New Roman" w:hAnsi="Times New Roman" w:cs="Times New Roman"/>
          <w:color w:val="000000" w:themeColor="text1"/>
          <w:sz w:val="28"/>
          <w:szCs w:val="28"/>
        </w:rPr>
        <w:t>с</w:t>
      </w:r>
      <w:r w:rsidR="00FF768C">
        <w:rPr>
          <w:rFonts w:ascii="Times New Roman" w:hAnsi="Times New Roman" w:cs="Times New Roman"/>
          <w:color w:val="000000" w:themeColor="text1"/>
          <w:sz w:val="28"/>
          <w:szCs w:val="28"/>
        </w:rPr>
        <w:t>редственно в Министерство в 2022 году поступило 1050</w:t>
      </w:r>
      <w:r w:rsidR="009122A1" w:rsidRPr="004C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</w:t>
      </w:r>
      <w:r w:rsidR="00FF768C">
        <w:rPr>
          <w:rFonts w:ascii="Times New Roman" w:hAnsi="Times New Roman" w:cs="Times New Roman"/>
          <w:color w:val="000000" w:themeColor="text1"/>
          <w:sz w:val="28"/>
          <w:szCs w:val="28"/>
        </w:rPr>
        <w:t>ащений, в 2021 году 1297, в 2020 году -685</w:t>
      </w:r>
      <w:r w:rsidR="00D85886" w:rsidRPr="004C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обращений</w:t>
      </w:r>
      <w:r w:rsidR="009122A1" w:rsidRPr="004C0D9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F7DE5" w:rsidRPr="004C0D9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F768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в сравнении с прошлым годом количество поступивших обращений в Министерство транспорта НСО уменьшилось, на 19% (на 247 обращений), в сравнении с прошлым годом количество увеличилось, на 53% (на 365 обращений). </w:t>
      </w:r>
    </w:p>
    <w:p w:rsidR="00FF768C" w:rsidRDefault="00FF768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D32" w:rsidRDefault="009F6D3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9F6D32" w:rsidRDefault="009F6D3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9F6D32" w:rsidRDefault="009F6D3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A72CA" w:rsidRDefault="00E276AF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EF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A72CA"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9F6D32" w:rsidRPr="00EF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EF7225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BA72CA">
        <w:rPr>
          <w:rFonts w:ascii="Times New Roman" w:hAnsi="Times New Roman" w:cs="Times New Roman"/>
          <w:color w:val="000000" w:themeColor="text1"/>
          <w:sz w:val="28"/>
          <w:szCs w:val="28"/>
        </w:rPr>
        <w:t>оду поступило 594 жалобы, в 2021</w:t>
      </w:r>
      <w:r w:rsidR="009F6D32" w:rsidRPr="00EF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за</w:t>
      </w:r>
      <w:r w:rsidR="007330B6">
        <w:rPr>
          <w:rFonts w:ascii="Times New Roman" w:hAnsi="Times New Roman" w:cs="Times New Roman"/>
          <w:color w:val="000000" w:themeColor="text1"/>
          <w:sz w:val="28"/>
          <w:szCs w:val="28"/>
        </w:rPr>
        <w:t>р</w:t>
      </w:r>
      <w:r w:rsidR="00BA72CA">
        <w:rPr>
          <w:rFonts w:ascii="Times New Roman" w:hAnsi="Times New Roman" w:cs="Times New Roman"/>
          <w:color w:val="000000" w:themeColor="text1"/>
          <w:sz w:val="28"/>
          <w:szCs w:val="28"/>
        </w:rPr>
        <w:t>егистрир</w:t>
      </w:r>
      <w:r w:rsidR="009169BB">
        <w:rPr>
          <w:rFonts w:ascii="Times New Roman" w:hAnsi="Times New Roman" w:cs="Times New Roman"/>
          <w:color w:val="000000" w:themeColor="text1"/>
          <w:sz w:val="28"/>
          <w:szCs w:val="28"/>
        </w:rPr>
        <w:t>ована 771</w:t>
      </w:r>
      <w:r w:rsidR="00BA7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9169BB"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 w:rsidR="00BA72CA">
        <w:rPr>
          <w:rFonts w:ascii="Times New Roman" w:hAnsi="Times New Roman" w:cs="Times New Roman"/>
          <w:color w:val="000000" w:themeColor="text1"/>
          <w:sz w:val="28"/>
          <w:szCs w:val="28"/>
        </w:rPr>
        <w:t>, в 2020 было 422</w:t>
      </w:r>
      <w:r w:rsidR="009F6D32" w:rsidRPr="00EF722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7330B6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9F6D32" w:rsidRPr="00EF7225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BA7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BA72C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количество жалоб </w:t>
      </w:r>
      <w:r w:rsidR="00916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сравнении с 2021 годом уменьшилось, на 23% (на 177 жалоб), с 2020 годом количество увеличилось, на </w:t>
      </w:r>
      <w:r w:rsidR="009B2FC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41% </w:t>
      </w:r>
      <w:r w:rsidR="00916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(на 172 </w:t>
      </w:r>
      <w:r w:rsidR="009B2FC4">
        <w:rPr>
          <w:rFonts w:ascii="Times New Roman" w:hAnsi="Times New Roman" w:cs="Times New Roman"/>
          <w:color w:val="000000" w:themeColor="text1"/>
          <w:sz w:val="28"/>
          <w:szCs w:val="28"/>
        </w:rPr>
        <w:t>жалобы).</w:t>
      </w:r>
      <w:r w:rsidR="00916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proofErr w:type="gramEnd"/>
    </w:p>
    <w:p w:rsidR="00D71A9B" w:rsidRDefault="00F14800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</w:t>
      </w:r>
      <w:r w:rsidR="00D7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В данном периоде поступило 377 заявлений, в прошлом году 400 заявлений, в 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</w:t>
      </w:r>
      <w:r w:rsidR="00D71A9B">
        <w:rPr>
          <w:rFonts w:ascii="Times New Roman" w:hAnsi="Times New Roman" w:cs="Times New Roman"/>
          <w:color w:val="000000" w:themeColor="text1"/>
          <w:sz w:val="28"/>
          <w:szCs w:val="28"/>
        </w:rPr>
        <w:t>поступило 276 заявлений</w:t>
      </w:r>
      <w:r w:rsidR="00A044B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D71A9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Количество заявлений в сравнении с прошлым годом уменьшилось на 5% (на 23 заявления), с 2020 годом количество заявлений увеличилось на 36% (на 101 заявление). </w:t>
      </w:r>
    </w:p>
    <w:p w:rsidR="0007059E" w:rsidRDefault="00611BFE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Из чи</w:t>
      </w:r>
      <w:r w:rsidR="0007059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сла поступивших обращений в 2022 году было зарегистрировано 1180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Pr="0018410B">
        <w:rPr>
          <w:rStyle w:val="a4"/>
          <w:rFonts w:ascii="Times New Roman" w:hAnsi="Times New Roman"/>
          <w:bCs/>
          <w:color w:val="000000" w:themeColor="text1"/>
          <w:sz w:val="28"/>
          <w:szCs w:val="28"/>
        </w:rPr>
        <w:t>письменных</w:t>
      </w:r>
      <w:r w:rsidR="0007059E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обращений. В 2021 году было 1610 письменных, а в 2020 году 1110 письменных обращений. С прошлым годом количество письменных обращений уменьшилось, на 27% (на 430), с 2021 годом количество увеличилось на 6% (на 70 письменных обращений).</w:t>
      </w:r>
    </w:p>
    <w:p w:rsidR="007C40F6" w:rsidRDefault="0007059E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В 2022</w:t>
      </w:r>
      <w:r w:rsidR="007C40F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году посту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пило 13 устных обращений, в 2021</w:t>
      </w:r>
      <w:r w:rsidR="007C40F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году 27 устных обращений, в 2020 году поступило 41 такое обращение</w:t>
      </w:r>
      <w:r w:rsidR="007C40F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В текущем году </w:t>
      </w:r>
      <w:r w:rsidR="00DE627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зарегистрировано меньшее </w:t>
      </w:r>
      <w:r w:rsidR="00DE627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lastRenderedPageBreak/>
        <w:t>количество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устных</w:t>
      </w:r>
      <w:r w:rsidR="00DE627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обращений, с прошлым годом на 52</w:t>
      </w:r>
      <w:r w:rsidR="00DE627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%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(на 14 устных обращений), с 2020</w:t>
      </w:r>
      <w:r w:rsidR="00DE627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годом на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68% (на 28</w:t>
      </w:r>
      <w:r w:rsidR="00DE6271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устных обращений).  </w:t>
      </w:r>
    </w:p>
    <w:p w:rsidR="00950A1D" w:rsidRDefault="00950A1D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950A1D" w:rsidRDefault="00950A1D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2867CA" w:rsidRDefault="009169BB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</w:t>
      </w:r>
    </w:p>
    <w:p w:rsidR="002867CA" w:rsidRDefault="002867CA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950A1D" w:rsidRDefault="00950A1D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</w:t>
      </w: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57150" t="38100" r="38100" b="5715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9D5476" w:rsidRDefault="009D5476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</w:t>
      </w:r>
    </w:p>
    <w:p w:rsidR="009D5476" w:rsidRDefault="009D5476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9D5476" w:rsidRDefault="009D5476" w:rsidP="009F6D32">
      <w:pPr>
        <w:tabs>
          <w:tab w:val="left" w:pos="8760"/>
        </w:tabs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Н</w:t>
      </w:r>
      <w:r w:rsidR="002C09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а личный прием к министру в 2022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</w:t>
      </w:r>
      <w:r w:rsidR="002C09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оду обратилось 11 граждан. В 2021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году </w:t>
      </w:r>
      <w:r w:rsidR="002C09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13 граждан, а в 2020 году 23 гражданина</w:t>
      </w:r>
      <w:r w:rsidR="00C56C3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 В текущем году личных приемов было меньше, в сравнен</w:t>
      </w:r>
      <w:r w:rsidR="002C09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ии с прошлым годом на 13% (на 2 обращения), с 2020 годом на 52% (на 12</w:t>
      </w:r>
      <w:r w:rsidR="00C56C3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).  </w:t>
      </w: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    </w:t>
      </w:r>
    </w:p>
    <w:p w:rsidR="002C09A0" w:rsidRDefault="00DE6271" w:rsidP="00DE6271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</w:t>
      </w:r>
      <w:r w:rsidR="002C09A0">
        <w:rPr>
          <w:rFonts w:ascii="Times New Roman" w:hAnsi="Times New Roman" w:cs="Times New Roman"/>
          <w:color w:val="000000" w:themeColor="text1"/>
          <w:sz w:val="28"/>
          <w:szCs w:val="28"/>
        </w:rPr>
        <w:t>В 2022</w:t>
      </w:r>
      <w:r w:rsidR="00611BF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поступило </w:t>
      </w:r>
      <w:r w:rsidR="002C09A0">
        <w:rPr>
          <w:rFonts w:ascii="Times New Roman" w:hAnsi="Times New Roman" w:cs="Times New Roman"/>
          <w:color w:val="000000" w:themeColor="text1"/>
          <w:sz w:val="28"/>
          <w:szCs w:val="28"/>
        </w:rPr>
        <w:t>1 предложение</w:t>
      </w:r>
      <w:r w:rsidR="00611BFE" w:rsidRPr="00247BE6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2C09A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6 предложений поступило в 2021 году, в 2020 было 13 предложений. Статистика показывает, большое снижение в 2022 году поступивших предложений в сравнении с предыдущими годами. </w:t>
      </w:r>
    </w:p>
    <w:p w:rsidR="00611BFE" w:rsidRDefault="00DE6271" w:rsidP="00DE6271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56C3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0BC">
        <w:rPr>
          <w:rFonts w:ascii="Times New Roman" w:hAnsi="Times New Roman" w:cs="Times New Roman"/>
          <w:color w:val="000000" w:themeColor="text1"/>
          <w:sz w:val="28"/>
          <w:szCs w:val="28"/>
        </w:rPr>
        <w:t>В 2022 году поступило 47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запросов, в 2</w:t>
      </w:r>
      <w:r w:rsidR="002C09A0">
        <w:rPr>
          <w:rFonts w:ascii="Times New Roman" w:hAnsi="Times New Roman" w:cs="Times New Roman"/>
          <w:color w:val="000000" w:themeColor="text1"/>
          <w:sz w:val="28"/>
          <w:szCs w:val="28"/>
        </w:rPr>
        <w:t>021 году запросов было 117, в 2020 году поступило 30 запросов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9D547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gramStart"/>
      <w:r w:rsidR="001B70B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 предыдущим годом количество запросов уменьшилось, на 60%  (на 70 запросов), с 202) годом количество выросло на 36% (на 17 запросов). </w:t>
      </w:r>
      <w:proofErr w:type="gramEnd"/>
    </w:p>
    <w:p w:rsidR="009309EE" w:rsidRDefault="00C56C36" w:rsidP="009D5476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30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2022 году по смс-сообщению поступило 11 обращений. </w:t>
      </w:r>
      <w:r w:rsidR="009D5476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поступило 9 обращений по смс-сообщению.</w:t>
      </w:r>
      <w:r w:rsidR="00930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2020 году таких обращений не поступало.</w:t>
      </w:r>
    </w:p>
    <w:p w:rsidR="00C56C36" w:rsidRDefault="00C56C36" w:rsidP="009D5476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930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По электронной почте в 2022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 поступило</w:t>
      </w:r>
      <w:r w:rsidR="0095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09EE">
        <w:rPr>
          <w:rFonts w:ascii="Times New Roman" w:hAnsi="Times New Roman" w:cs="Times New Roman"/>
          <w:color w:val="000000" w:themeColor="text1"/>
          <w:sz w:val="28"/>
          <w:szCs w:val="28"/>
        </w:rPr>
        <w:t>14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309EE">
        <w:rPr>
          <w:rFonts w:ascii="Times New Roman" w:hAnsi="Times New Roman" w:cs="Times New Roman"/>
          <w:color w:val="000000" w:themeColor="text1"/>
          <w:sz w:val="28"/>
          <w:szCs w:val="28"/>
        </w:rPr>
        <w:t>обращений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9309EE">
        <w:rPr>
          <w:rFonts w:ascii="Times New Roman" w:hAnsi="Times New Roman" w:cs="Times New Roman"/>
          <w:color w:val="000000" w:themeColor="text1"/>
          <w:sz w:val="28"/>
          <w:szCs w:val="28"/>
        </w:rPr>
        <w:t>в 2021 году 33 обращения, в 2020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году</w:t>
      </w:r>
      <w:r w:rsidR="009309E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51 обращение</w:t>
      </w:r>
      <w:r w:rsidR="0095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:rsidR="003327E9" w:rsidRDefault="002867CA" w:rsidP="009D5476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</w:p>
    <w:p w:rsidR="002867CA" w:rsidRDefault="003327E9" w:rsidP="002867CA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</w:t>
      </w:r>
      <w:r w:rsidR="002867CA"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0" name="Диаграмма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  <w:r w:rsidR="00950A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2867CA" w:rsidRDefault="002867CA" w:rsidP="002867CA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</w:p>
    <w:p w:rsidR="00770492" w:rsidRDefault="002867CA" w:rsidP="002867CA">
      <w:pPr>
        <w:tabs>
          <w:tab w:val="left" w:pos="8760"/>
        </w:tabs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9E7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Следует </w:t>
      </w:r>
      <w:r w:rsidR="006037D2">
        <w:rPr>
          <w:rFonts w:ascii="Times New Roman" w:hAnsi="Times New Roman" w:cs="Times New Roman"/>
          <w:color w:val="000000" w:themeColor="text1"/>
          <w:sz w:val="28"/>
          <w:szCs w:val="28"/>
        </w:rPr>
        <w:t>отметить,</w:t>
      </w:r>
      <w:r w:rsidR="009E7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н</w:t>
      </w:r>
      <w:r w:rsidR="005E2A4E">
        <w:rPr>
          <w:rFonts w:ascii="Times New Roman" w:hAnsi="Times New Roman" w:cs="Times New Roman"/>
          <w:color w:val="000000" w:themeColor="text1"/>
          <w:sz w:val="28"/>
          <w:szCs w:val="28"/>
        </w:rPr>
        <w:t>аибольшее количество обращен</w:t>
      </w:r>
      <w:r w:rsidR="001763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ий </w:t>
      </w:r>
      <w:r w:rsidR="006037D2">
        <w:rPr>
          <w:rFonts w:ascii="Times New Roman" w:hAnsi="Times New Roman" w:cs="Times New Roman"/>
          <w:color w:val="000000" w:themeColor="text1"/>
          <w:sz w:val="28"/>
          <w:szCs w:val="28"/>
        </w:rPr>
        <w:t>граждан,</w:t>
      </w:r>
      <w:r w:rsidR="005735C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E78CD">
        <w:rPr>
          <w:rFonts w:ascii="Times New Roman" w:hAnsi="Times New Roman" w:cs="Times New Roman"/>
          <w:color w:val="000000" w:themeColor="text1"/>
          <w:sz w:val="28"/>
          <w:szCs w:val="28"/>
        </w:rPr>
        <w:t>что</w:t>
      </w:r>
      <w:r w:rsidR="00916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2022</w:t>
      </w:r>
      <w:r w:rsidR="009D2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8269EC">
        <w:rPr>
          <w:rFonts w:ascii="Times New Roman" w:hAnsi="Times New Roman" w:cs="Times New Roman"/>
          <w:color w:val="000000" w:themeColor="text1"/>
          <w:sz w:val="28"/>
          <w:szCs w:val="28"/>
        </w:rPr>
        <w:t>году, что</w:t>
      </w:r>
      <w:r w:rsidR="009169B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2021 и 2020</w:t>
      </w:r>
      <w:r w:rsidR="009E78C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годах </w:t>
      </w:r>
      <w:r w:rsidR="0077049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поступило по вопросам работы общественного </w:t>
      </w:r>
      <w:r w:rsidR="009D2FF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транспорта. </w:t>
      </w:r>
      <w:r w:rsidR="006037D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 нарушителям были применены меры наказания административного характера. </w:t>
      </w:r>
    </w:p>
    <w:p w:rsidR="007751AD" w:rsidRPr="00796015" w:rsidRDefault="009E78CD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>аны разъяснения и рекомендации.</w:t>
      </w:r>
    </w:p>
    <w:p w:rsidR="005B3607" w:rsidRDefault="00ED0FF6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="001C2FF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F4D42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12.04.2017 № 60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BA1AEC" w:rsidRDefault="00BA1AEC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</w:p>
    <w:p w:rsidR="00BA1AEC" w:rsidRDefault="003960A4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  <w:bookmarkEnd w:id="0"/>
    </w:p>
    <w:p w:rsidR="00DF3894" w:rsidRDefault="000F1D52" w:rsidP="007E548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   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770492" w:rsidRDefault="00BC4486" w:rsidP="007E548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B2FC4">
        <w:rPr>
          <w:rFonts w:ascii="Times New Roman" w:eastAsia="Times New Roman" w:hAnsi="Times New Roman"/>
          <w:sz w:val="28"/>
          <w:szCs w:val="28"/>
          <w:lang w:eastAsia="ru-RU"/>
        </w:rPr>
        <w:t>позволила в 2022</w:t>
      </w:r>
      <w:r w:rsidR="00C540C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году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770492" w:rsidSect="007E5485">
      <w:type w:val="continuous"/>
      <w:pgSz w:w="11906" w:h="16838"/>
      <w:pgMar w:top="709" w:right="993" w:bottom="284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proofState w:spelling="clean" w:grammar="clean"/>
  <w:defaultTabStop w:val="708"/>
  <w:characterSpacingControl w:val="doNotCompress"/>
  <w:hdrShapeDefaults>
    <o:shapedefaults v:ext="edit" spidmax="716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30A77"/>
    <w:rsid w:val="0000051B"/>
    <w:rsid w:val="000023FF"/>
    <w:rsid w:val="00007740"/>
    <w:rsid w:val="00007837"/>
    <w:rsid w:val="00012019"/>
    <w:rsid w:val="00012063"/>
    <w:rsid w:val="00015162"/>
    <w:rsid w:val="00015A4A"/>
    <w:rsid w:val="0001773D"/>
    <w:rsid w:val="000244F2"/>
    <w:rsid w:val="00031E95"/>
    <w:rsid w:val="000358A1"/>
    <w:rsid w:val="00041B86"/>
    <w:rsid w:val="00042CA1"/>
    <w:rsid w:val="000450F6"/>
    <w:rsid w:val="00052458"/>
    <w:rsid w:val="00053C36"/>
    <w:rsid w:val="00065ACC"/>
    <w:rsid w:val="0007059E"/>
    <w:rsid w:val="000A2EBA"/>
    <w:rsid w:val="000B1405"/>
    <w:rsid w:val="000B4DFF"/>
    <w:rsid w:val="000D7AD9"/>
    <w:rsid w:val="000D7FC9"/>
    <w:rsid w:val="000F1D52"/>
    <w:rsid w:val="000F7DE5"/>
    <w:rsid w:val="00112046"/>
    <w:rsid w:val="00117ADE"/>
    <w:rsid w:val="00121724"/>
    <w:rsid w:val="001352DA"/>
    <w:rsid w:val="00136225"/>
    <w:rsid w:val="00142F4B"/>
    <w:rsid w:val="00143D13"/>
    <w:rsid w:val="00151179"/>
    <w:rsid w:val="00153655"/>
    <w:rsid w:val="00153698"/>
    <w:rsid w:val="00160988"/>
    <w:rsid w:val="00165E4E"/>
    <w:rsid w:val="00176354"/>
    <w:rsid w:val="0018319B"/>
    <w:rsid w:val="0018410B"/>
    <w:rsid w:val="001875A8"/>
    <w:rsid w:val="00187685"/>
    <w:rsid w:val="00192FFE"/>
    <w:rsid w:val="0019453D"/>
    <w:rsid w:val="001A0031"/>
    <w:rsid w:val="001B2A9B"/>
    <w:rsid w:val="001B4C47"/>
    <w:rsid w:val="001B70BC"/>
    <w:rsid w:val="001C0C2D"/>
    <w:rsid w:val="001C22D6"/>
    <w:rsid w:val="001C2FF2"/>
    <w:rsid w:val="001C4D86"/>
    <w:rsid w:val="001D44AF"/>
    <w:rsid w:val="001D70B9"/>
    <w:rsid w:val="001D79AD"/>
    <w:rsid w:val="001E0723"/>
    <w:rsid w:val="001E17DE"/>
    <w:rsid w:val="001E21D7"/>
    <w:rsid w:val="001E5C16"/>
    <w:rsid w:val="001F51F0"/>
    <w:rsid w:val="0020382D"/>
    <w:rsid w:val="00222282"/>
    <w:rsid w:val="00224BAB"/>
    <w:rsid w:val="00232049"/>
    <w:rsid w:val="00237AE3"/>
    <w:rsid w:val="00241EEC"/>
    <w:rsid w:val="00247BE6"/>
    <w:rsid w:val="00252171"/>
    <w:rsid w:val="00254332"/>
    <w:rsid w:val="00257881"/>
    <w:rsid w:val="00277AC2"/>
    <w:rsid w:val="00280002"/>
    <w:rsid w:val="00285FBC"/>
    <w:rsid w:val="002867CA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09A0"/>
    <w:rsid w:val="002C672A"/>
    <w:rsid w:val="002C6972"/>
    <w:rsid w:val="002D2E00"/>
    <w:rsid w:val="002D5CEC"/>
    <w:rsid w:val="002E35D6"/>
    <w:rsid w:val="002E6D85"/>
    <w:rsid w:val="002F379C"/>
    <w:rsid w:val="002F42B5"/>
    <w:rsid w:val="002F4D22"/>
    <w:rsid w:val="00301091"/>
    <w:rsid w:val="00301922"/>
    <w:rsid w:val="003032A6"/>
    <w:rsid w:val="0031503F"/>
    <w:rsid w:val="003327E9"/>
    <w:rsid w:val="00334A2F"/>
    <w:rsid w:val="003407A1"/>
    <w:rsid w:val="00341077"/>
    <w:rsid w:val="00351ED4"/>
    <w:rsid w:val="00357458"/>
    <w:rsid w:val="00363BB0"/>
    <w:rsid w:val="00370906"/>
    <w:rsid w:val="00370B6C"/>
    <w:rsid w:val="0037273B"/>
    <w:rsid w:val="003747B6"/>
    <w:rsid w:val="00374F07"/>
    <w:rsid w:val="00380BB9"/>
    <w:rsid w:val="00381CD4"/>
    <w:rsid w:val="00387B16"/>
    <w:rsid w:val="0039484B"/>
    <w:rsid w:val="003960A4"/>
    <w:rsid w:val="003A1622"/>
    <w:rsid w:val="003A2622"/>
    <w:rsid w:val="003A3B2D"/>
    <w:rsid w:val="003A5DE0"/>
    <w:rsid w:val="003C1B9F"/>
    <w:rsid w:val="003E3CFC"/>
    <w:rsid w:val="003E4843"/>
    <w:rsid w:val="003F0389"/>
    <w:rsid w:val="00403A9F"/>
    <w:rsid w:val="0040721D"/>
    <w:rsid w:val="004164B2"/>
    <w:rsid w:val="0042266D"/>
    <w:rsid w:val="004239C4"/>
    <w:rsid w:val="00426818"/>
    <w:rsid w:val="004300AF"/>
    <w:rsid w:val="00431987"/>
    <w:rsid w:val="00443E86"/>
    <w:rsid w:val="004740ED"/>
    <w:rsid w:val="00486642"/>
    <w:rsid w:val="00486C8E"/>
    <w:rsid w:val="004949D7"/>
    <w:rsid w:val="004C0D9C"/>
    <w:rsid w:val="004C1B00"/>
    <w:rsid w:val="004D62B0"/>
    <w:rsid w:val="004E0B78"/>
    <w:rsid w:val="004E5F1B"/>
    <w:rsid w:val="004E6FC9"/>
    <w:rsid w:val="004F359C"/>
    <w:rsid w:val="004F3999"/>
    <w:rsid w:val="004F5592"/>
    <w:rsid w:val="005014C4"/>
    <w:rsid w:val="00502C38"/>
    <w:rsid w:val="00507E8C"/>
    <w:rsid w:val="00511C04"/>
    <w:rsid w:val="005202D6"/>
    <w:rsid w:val="00523C48"/>
    <w:rsid w:val="00526167"/>
    <w:rsid w:val="00527B63"/>
    <w:rsid w:val="00530408"/>
    <w:rsid w:val="005341EA"/>
    <w:rsid w:val="00545611"/>
    <w:rsid w:val="0054691C"/>
    <w:rsid w:val="00556C8E"/>
    <w:rsid w:val="00560F46"/>
    <w:rsid w:val="005735CB"/>
    <w:rsid w:val="00576053"/>
    <w:rsid w:val="00577801"/>
    <w:rsid w:val="00591D33"/>
    <w:rsid w:val="00592E32"/>
    <w:rsid w:val="005B3138"/>
    <w:rsid w:val="005B3607"/>
    <w:rsid w:val="005C65AE"/>
    <w:rsid w:val="005C6926"/>
    <w:rsid w:val="005D08CB"/>
    <w:rsid w:val="005D49CA"/>
    <w:rsid w:val="005E238C"/>
    <w:rsid w:val="005E2A4E"/>
    <w:rsid w:val="005E349D"/>
    <w:rsid w:val="005E622B"/>
    <w:rsid w:val="005F1099"/>
    <w:rsid w:val="005F72F9"/>
    <w:rsid w:val="006037D2"/>
    <w:rsid w:val="00605881"/>
    <w:rsid w:val="00611BFE"/>
    <w:rsid w:val="006131EB"/>
    <w:rsid w:val="00622A08"/>
    <w:rsid w:val="00623287"/>
    <w:rsid w:val="00625CAD"/>
    <w:rsid w:val="00643B30"/>
    <w:rsid w:val="0064549A"/>
    <w:rsid w:val="00650E40"/>
    <w:rsid w:val="00650EF6"/>
    <w:rsid w:val="0065272A"/>
    <w:rsid w:val="00661D60"/>
    <w:rsid w:val="00675A3A"/>
    <w:rsid w:val="00687858"/>
    <w:rsid w:val="006945BB"/>
    <w:rsid w:val="00696DBF"/>
    <w:rsid w:val="006A306D"/>
    <w:rsid w:val="006B2FD6"/>
    <w:rsid w:val="006C507C"/>
    <w:rsid w:val="006E2319"/>
    <w:rsid w:val="006F199A"/>
    <w:rsid w:val="00700CAC"/>
    <w:rsid w:val="0070280C"/>
    <w:rsid w:val="007035EF"/>
    <w:rsid w:val="00704029"/>
    <w:rsid w:val="0070484B"/>
    <w:rsid w:val="007116B4"/>
    <w:rsid w:val="00731B0A"/>
    <w:rsid w:val="007330B6"/>
    <w:rsid w:val="0075441F"/>
    <w:rsid w:val="00762670"/>
    <w:rsid w:val="00770492"/>
    <w:rsid w:val="00773CB3"/>
    <w:rsid w:val="00774603"/>
    <w:rsid w:val="007751AD"/>
    <w:rsid w:val="00776AD5"/>
    <w:rsid w:val="007821F2"/>
    <w:rsid w:val="007871AA"/>
    <w:rsid w:val="00793958"/>
    <w:rsid w:val="00796015"/>
    <w:rsid w:val="007A6A82"/>
    <w:rsid w:val="007B2F44"/>
    <w:rsid w:val="007B3CB3"/>
    <w:rsid w:val="007B6D35"/>
    <w:rsid w:val="007C40F6"/>
    <w:rsid w:val="007D3254"/>
    <w:rsid w:val="007D525B"/>
    <w:rsid w:val="007D734A"/>
    <w:rsid w:val="007E220F"/>
    <w:rsid w:val="007E255F"/>
    <w:rsid w:val="007E2A33"/>
    <w:rsid w:val="007E5485"/>
    <w:rsid w:val="007F178E"/>
    <w:rsid w:val="007F1EBA"/>
    <w:rsid w:val="007F74BB"/>
    <w:rsid w:val="00803FD4"/>
    <w:rsid w:val="00810453"/>
    <w:rsid w:val="00811370"/>
    <w:rsid w:val="00816D16"/>
    <w:rsid w:val="00824A81"/>
    <w:rsid w:val="008269EC"/>
    <w:rsid w:val="008348D5"/>
    <w:rsid w:val="00836983"/>
    <w:rsid w:val="0084307B"/>
    <w:rsid w:val="0085430A"/>
    <w:rsid w:val="00861946"/>
    <w:rsid w:val="008648A2"/>
    <w:rsid w:val="008653AC"/>
    <w:rsid w:val="00880B1E"/>
    <w:rsid w:val="00885B34"/>
    <w:rsid w:val="008A50FC"/>
    <w:rsid w:val="008C0850"/>
    <w:rsid w:val="008C7315"/>
    <w:rsid w:val="008D3FA8"/>
    <w:rsid w:val="008E4CC3"/>
    <w:rsid w:val="00905B2B"/>
    <w:rsid w:val="009122A1"/>
    <w:rsid w:val="00912514"/>
    <w:rsid w:val="00912B26"/>
    <w:rsid w:val="0091620E"/>
    <w:rsid w:val="009169BB"/>
    <w:rsid w:val="009309EE"/>
    <w:rsid w:val="00937FA6"/>
    <w:rsid w:val="009434DC"/>
    <w:rsid w:val="00950A1D"/>
    <w:rsid w:val="009518E7"/>
    <w:rsid w:val="00954C92"/>
    <w:rsid w:val="00960AAA"/>
    <w:rsid w:val="00961BFE"/>
    <w:rsid w:val="0096356B"/>
    <w:rsid w:val="009650D9"/>
    <w:rsid w:val="00981FF1"/>
    <w:rsid w:val="0098635E"/>
    <w:rsid w:val="00995628"/>
    <w:rsid w:val="009A4E57"/>
    <w:rsid w:val="009B2FC4"/>
    <w:rsid w:val="009C1BC5"/>
    <w:rsid w:val="009C68FB"/>
    <w:rsid w:val="009D2FFC"/>
    <w:rsid w:val="009D3DF9"/>
    <w:rsid w:val="009D5476"/>
    <w:rsid w:val="009E002E"/>
    <w:rsid w:val="009E42A6"/>
    <w:rsid w:val="009E78CD"/>
    <w:rsid w:val="009F0060"/>
    <w:rsid w:val="009F23D6"/>
    <w:rsid w:val="009F6D32"/>
    <w:rsid w:val="00A044BC"/>
    <w:rsid w:val="00A11D91"/>
    <w:rsid w:val="00A134FB"/>
    <w:rsid w:val="00A1569D"/>
    <w:rsid w:val="00A21AAF"/>
    <w:rsid w:val="00A2687C"/>
    <w:rsid w:val="00A45E9A"/>
    <w:rsid w:val="00A50D51"/>
    <w:rsid w:val="00A5589E"/>
    <w:rsid w:val="00A7051A"/>
    <w:rsid w:val="00A70F9F"/>
    <w:rsid w:val="00A76933"/>
    <w:rsid w:val="00A80628"/>
    <w:rsid w:val="00A84678"/>
    <w:rsid w:val="00A87AEE"/>
    <w:rsid w:val="00AB361D"/>
    <w:rsid w:val="00AC5644"/>
    <w:rsid w:val="00AF402C"/>
    <w:rsid w:val="00AF4A6A"/>
    <w:rsid w:val="00AF4B40"/>
    <w:rsid w:val="00B01B55"/>
    <w:rsid w:val="00B12074"/>
    <w:rsid w:val="00B1507E"/>
    <w:rsid w:val="00B265A0"/>
    <w:rsid w:val="00B27388"/>
    <w:rsid w:val="00B273F7"/>
    <w:rsid w:val="00B276CD"/>
    <w:rsid w:val="00B31DC1"/>
    <w:rsid w:val="00B3661C"/>
    <w:rsid w:val="00B5252A"/>
    <w:rsid w:val="00B55573"/>
    <w:rsid w:val="00B62CB9"/>
    <w:rsid w:val="00B63358"/>
    <w:rsid w:val="00B829B7"/>
    <w:rsid w:val="00B8509C"/>
    <w:rsid w:val="00B9638B"/>
    <w:rsid w:val="00BA1AEC"/>
    <w:rsid w:val="00BA6A76"/>
    <w:rsid w:val="00BA72CA"/>
    <w:rsid w:val="00BC4486"/>
    <w:rsid w:val="00BC7755"/>
    <w:rsid w:val="00BD01D9"/>
    <w:rsid w:val="00BD173F"/>
    <w:rsid w:val="00BD6F7E"/>
    <w:rsid w:val="00BF4D42"/>
    <w:rsid w:val="00BF7AC9"/>
    <w:rsid w:val="00C253C4"/>
    <w:rsid w:val="00C45622"/>
    <w:rsid w:val="00C45B8F"/>
    <w:rsid w:val="00C540C9"/>
    <w:rsid w:val="00C56C36"/>
    <w:rsid w:val="00C611DC"/>
    <w:rsid w:val="00C64AB2"/>
    <w:rsid w:val="00C82181"/>
    <w:rsid w:val="00C831A7"/>
    <w:rsid w:val="00C85755"/>
    <w:rsid w:val="00CA035F"/>
    <w:rsid w:val="00CA31D3"/>
    <w:rsid w:val="00CB5F95"/>
    <w:rsid w:val="00CC5D7E"/>
    <w:rsid w:val="00CD4096"/>
    <w:rsid w:val="00CD47DB"/>
    <w:rsid w:val="00CD6CC8"/>
    <w:rsid w:val="00CD7E10"/>
    <w:rsid w:val="00CE3E37"/>
    <w:rsid w:val="00CE70C9"/>
    <w:rsid w:val="00CE71BF"/>
    <w:rsid w:val="00CF08CE"/>
    <w:rsid w:val="00D00A58"/>
    <w:rsid w:val="00D01249"/>
    <w:rsid w:val="00D04EF6"/>
    <w:rsid w:val="00D067A9"/>
    <w:rsid w:val="00D10C21"/>
    <w:rsid w:val="00D12251"/>
    <w:rsid w:val="00D32AFA"/>
    <w:rsid w:val="00D32E8F"/>
    <w:rsid w:val="00D33F30"/>
    <w:rsid w:val="00D71A9B"/>
    <w:rsid w:val="00D72F52"/>
    <w:rsid w:val="00D7756A"/>
    <w:rsid w:val="00D801A3"/>
    <w:rsid w:val="00D85437"/>
    <w:rsid w:val="00D85886"/>
    <w:rsid w:val="00D90969"/>
    <w:rsid w:val="00D97470"/>
    <w:rsid w:val="00D97D0C"/>
    <w:rsid w:val="00DA0B77"/>
    <w:rsid w:val="00DA4A54"/>
    <w:rsid w:val="00DA6C2F"/>
    <w:rsid w:val="00DC541A"/>
    <w:rsid w:val="00DC5DC3"/>
    <w:rsid w:val="00DC6BDE"/>
    <w:rsid w:val="00DC797E"/>
    <w:rsid w:val="00DD729A"/>
    <w:rsid w:val="00DE0614"/>
    <w:rsid w:val="00DE3DB1"/>
    <w:rsid w:val="00DE48BB"/>
    <w:rsid w:val="00DE6271"/>
    <w:rsid w:val="00DF3894"/>
    <w:rsid w:val="00DF6013"/>
    <w:rsid w:val="00DF74AF"/>
    <w:rsid w:val="00E1076B"/>
    <w:rsid w:val="00E21C67"/>
    <w:rsid w:val="00E276AF"/>
    <w:rsid w:val="00E316DE"/>
    <w:rsid w:val="00E350DB"/>
    <w:rsid w:val="00E40003"/>
    <w:rsid w:val="00E51A9E"/>
    <w:rsid w:val="00E52E82"/>
    <w:rsid w:val="00E53762"/>
    <w:rsid w:val="00E646D3"/>
    <w:rsid w:val="00E747A5"/>
    <w:rsid w:val="00E81276"/>
    <w:rsid w:val="00E860E1"/>
    <w:rsid w:val="00E90081"/>
    <w:rsid w:val="00E9287A"/>
    <w:rsid w:val="00E93EE4"/>
    <w:rsid w:val="00E97548"/>
    <w:rsid w:val="00EB25D1"/>
    <w:rsid w:val="00EB32F0"/>
    <w:rsid w:val="00EB4E17"/>
    <w:rsid w:val="00EC0F78"/>
    <w:rsid w:val="00EC3405"/>
    <w:rsid w:val="00EC3447"/>
    <w:rsid w:val="00ED07ED"/>
    <w:rsid w:val="00ED0FF6"/>
    <w:rsid w:val="00ED694C"/>
    <w:rsid w:val="00ED704F"/>
    <w:rsid w:val="00ED7F8A"/>
    <w:rsid w:val="00EE1CFB"/>
    <w:rsid w:val="00EE23F5"/>
    <w:rsid w:val="00EE295D"/>
    <w:rsid w:val="00EF7225"/>
    <w:rsid w:val="00F115E6"/>
    <w:rsid w:val="00F14137"/>
    <w:rsid w:val="00F14800"/>
    <w:rsid w:val="00F23BD4"/>
    <w:rsid w:val="00F2402C"/>
    <w:rsid w:val="00F27932"/>
    <w:rsid w:val="00F30A77"/>
    <w:rsid w:val="00F34135"/>
    <w:rsid w:val="00F5601F"/>
    <w:rsid w:val="00F57FA1"/>
    <w:rsid w:val="00F64BFB"/>
    <w:rsid w:val="00F6640C"/>
    <w:rsid w:val="00F82F57"/>
    <w:rsid w:val="00FB16CA"/>
    <w:rsid w:val="00FB20F7"/>
    <w:rsid w:val="00FB42B6"/>
    <w:rsid w:val="00FB5F0F"/>
    <w:rsid w:val="00FC1A6F"/>
    <w:rsid w:val="00FC5303"/>
    <w:rsid w:val="00FC62D1"/>
    <w:rsid w:val="00FC6AD6"/>
    <w:rsid w:val="00FE2761"/>
    <w:rsid w:val="00FE2EA8"/>
    <w:rsid w:val="00FF7507"/>
    <w:rsid w:val="00FF76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paragraph" w:styleId="ac">
    <w:name w:val="No Spacing"/>
    <w:uiPriority w:val="1"/>
    <w:qFormat/>
    <w:rsid w:val="00EB4E17"/>
    <w:pPr>
      <w:spacing w:after="0" w:line="240" w:lineRule="auto"/>
    </w:pPr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  <w:style w:type="paragraph" w:styleId="ac">
    <w:name w:val="No Spacing"/>
    <w:uiPriority w:val="1"/>
    <w:qFormat/>
    <w:rsid w:val="00EB4E17"/>
    <w:pPr>
      <w:spacing w:after="0" w:line="240" w:lineRule="auto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chart" Target="charts/chart5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chart" Target="charts/chart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hart" Target="charts/chart3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3"/>
    </mc:Choice>
    <mc:Fallback>
      <c:style val="3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Динамика роста/снижения количество обращений, поступивших на рассмотрение в Минтранс НСО </a:t>
            </a:r>
          </a:p>
          <a:p>
            <a:pPr>
              <a:defRPr/>
            </a:pPr>
            <a:r>
              <a:rPr lang="ru-RU" sz="1400"/>
              <a:t>в 2022, 2021, 2020 годах.</a:t>
            </a:r>
          </a:p>
        </c:rich>
      </c:tx>
      <c:layout>
        <c:manualLayout>
          <c:xMode val="edge"/>
          <c:yMode val="edge"/>
          <c:x val="0.16178167059340501"/>
          <c:y val="0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20203974360602323"/>
          <c:y val="0.24681925999662638"/>
          <c:w val="0.47986042070164436"/>
          <c:h val="0.64514187213269902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Количество поступивших обращений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Лист1!$A$2:$A$6</c:f>
              <c:strCache>
                <c:ptCount val="4"/>
                <c:pt idx="1">
                  <c:v>2022 год</c:v>
                </c:pt>
                <c:pt idx="2">
                  <c:v>2021 год</c:v>
                </c:pt>
                <c:pt idx="3">
                  <c:v>2020 год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1449</c:v>
                </c:pt>
                <c:pt idx="2">
                  <c:v>1786</c:v>
                </c:pt>
                <c:pt idx="3">
                  <c:v>1358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E8B-4523-85D0-615BA355FAB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00"/>
        <c:shape val="cylinder"/>
        <c:axId val="48837760"/>
        <c:axId val="48831872"/>
        <c:axId val="0"/>
      </c:bar3DChart>
      <c:valAx>
        <c:axId val="4883187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48837760"/>
        <c:crosses val="autoZero"/>
        <c:crossBetween val="between"/>
      </c:valAx>
      <c:catAx>
        <c:axId val="48837760"/>
        <c:scaling>
          <c:orientation val="minMax"/>
        </c:scaling>
        <c:delete val="0"/>
        <c:axPos val="b"/>
        <c:majorTickMark val="out"/>
        <c:minorTickMark val="none"/>
        <c:tickLblPos val="nextTo"/>
        <c:crossAx val="48831872"/>
        <c:crosses val="autoZero"/>
        <c:auto val="1"/>
        <c:lblAlgn val="ctr"/>
        <c:lblOffset val="100"/>
        <c:noMultiLvlLbl val="0"/>
      </c:catAx>
    </c:plotArea>
    <c:legend>
      <c:legendPos val="r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Динамика</a:t>
            </a:r>
            <a:r>
              <a:rPr lang="ru-RU" sz="1200" baseline="0"/>
              <a:t> обращений поступивших в Минтранс НСО в 2022 году, в сравнении с  2021 и 2020 годами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percentStack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непосредственно в министерство</c:v>
                </c:pt>
                <c:pt idx="2">
                  <c:v>общественная приемная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1050</c:v>
                </c:pt>
                <c:pt idx="2">
                  <c:v>410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непосредственно в министерство</c:v>
                </c:pt>
                <c:pt idx="2">
                  <c:v>общественная приемная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1297</c:v>
                </c:pt>
                <c:pt idx="2">
                  <c:v>509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непосредственно в министерство</c:v>
                </c:pt>
                <c:pt idx="2">
                  <c:v>общественная приемная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685</c:v>
                </c:pt>
                <c:pt idx="2">
                  <c:v>673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95"/>
        <c:gapDepth val="95"/>
        <c:shape val="cylinder"/>
        <c:axId val="76813056"/>
        <c:axId val="76814592"/>
        <c:axId val="0"/>
      </c:bar3DChart>
      <c:catAx>
        <c:axId val="76813056"/>
        <c:scaling>
          <c:orientation val="minMax"/>
        </c:scaling>
        <c:delete val="0"/>
        <c:axPos val="l"/>
        <c:minorGridlines/>
        <c:majorTickMark val="none"/>
        <c:minorTickMark val="none"/>
        <c:tickLblPos val="nextTo"/>
        <c:crossAx val="76814592"/>
        <c:crosses val="autoZero"/>
        <c:auto val="1"/>
        <c:lblAlgn val="ctr"/>
        <c:lblOffset val="100"/>
        <c:noMultiLvlLbl val="0"/>
      </c:catAx>
      <c:valAx>
        <c:axId val="76814592"/>
        <c:scaling>
          <c:orientation val="minMax"/>
        </c:scaling>
        <c:delete val="0"/>
        <c:axPos val="b"/>
        <c:minorGridlines/>
        <c:numFmt formatCode="0%" sourceLinked="1"/>
        <c:majorTickMark val="out"/>
        <c:minorTickMark val="none"/>
        <c:tickLblPos val="nextTo"/>
        <c:spPr>
          <a:ln w="9525">
            <a:noFill/>
          </a:ln>
        </c:spPr>
        <c:crossAx val="7681305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Види обращений поступивших в Минтранс НСО в 2022 году, в сравнении с 2021 и 2020 годами</a:t>
            </a:r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запросы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1">
                  <c:v>377</c:v>
                </c:pt>
                <c:pt idx="2">
                  <c:v>594</c:v>
                </c:pt>
                <c:pt idx="3">
                  <c:v>1</c:v>
                </c:pt>
                <c:pt idx="4">
                  <c:v>47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запросы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1">
                  <c:v>400</c:v>
                </c:pt>
                <c:pt idx="2">
                  <c:v>771</c:v>
                </c:pt>
                <c:pt idx="3">
                  <c:v>6</c:v>
                </c:pt>
                <c:pt idx="4">
                  <c:v>117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1">
                  <c:v>заявления</c:v>
                </c:pt>
                <c:pt idx="2">
                  <c:v>жалобы</c:v>
                </c:pt>
                <c:pt idx="3">
                  <c:v>предложения</c:v>
                </c:pt>
                <c:pt idx="4">
                  <c:v>запросы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1">
                  <c:v>276</c:v>
                </c:pt>
                <c:pt idx="2">
                  <c:v>422</c:v>
                </c:pt>
                <c:pt idx="3">
                  <c:v>13</c:v>
                </c:pt>
                <c:pt idx="4">
                  <c:v>30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box"/>
        <c:axId val="77624832"/>
        <c:axId val="77626368"/>
        <c:axId val="0"/>
      </c:bar3DChart>
      <c:catAx>
        <c:axId val="7762483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crossAx val="77626368"/>
        <c:crosses val="autoZero"/>
        <c:auto val="1"/>
        <c:lblAlgn val="ctr"/>
        <c:lblOffset val="100"/>
        <c:noMultiLvlLbl val="0"/>
      </c:catAx>
      <c:valAx>
        <c:axId val="77626368"/>
        <c:scaling>
          <c:orientation val="minMax"/>
        </c:scaling>
        <c:delete val="1"/>
        <c:axPos val="l"/>
        <c:numFmt formatCode="General" sourceLinked="1"/>
        <c:majorTickMark val="none"/>
        <c:minorTickMark val="none"/>
        <c:tickLblPos val="none"/>
        <c:crossAx val="77624832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spPr>
    <a:gradFill rotWithShape="1">
      <a:gsLst>
        <a:gs pos="0">
          <a:schemeClr val="dk1">
            <a:tint val="50000"/>
            <a:satMod val="300000"/>
          </a:schemeClr>
        </a:gs>
        <a:gs pos="35000">
          <a:schemeClr val="dk1">
            <a:tint val="37000"/>
            <a:satMod val="300000"/>
          </a:schemeClr>
        </a:gs>
        <a:gs pos="100000">
          <a:schemeClr val="dk1">
            <a:tint val="15000"/>
            <a:satMod val="350000"/>
          </a:schemeClr>
        </a:gs>
      </a:gsLst>
      <a:lin ang="16200000" scaled="1"/>
    </a:gradFill>
    <a:ln w="9525" cap="flat" cmpd="sng" algn="ctr">
      <a:solidFill>
        <a:schemeClr val="dk1">
          <a:shade val="95000"/>
          <a:satMod val="105000"/>
        </a:schemeClr>
      </a:solidFill>
      <a:prstDash val="solid"/>
    </a:ln>
    <a:effectLst>
      <a:outerShdw blurRad="40000" dist="20000" dir="5400000" rotWithShape="0">
        <a:srgbClr val="000000">
          <a:alpha val="38000"/>
        </a:srgbClr>
      </a:outerShdw>
    </a:effectLst>
  </c:spPr>
  <c:txPr>
    <a:bodyPr/>
    <a:lstStyle/>
    <a:p>
      <a:pPr>
        <a:defRPr>
          <a:solidFill>
            <a:schemeClr val="dk1"/>
          </a:solidFill>
          <a:latin typeface="+mn-lt"/>
          <a:ea typeface="+mn-ea"/>
          <a:cs typeface="+mn-cs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 algn="ctr">
              <a:defRPr/>
            </a:pPr>
            <a:r>
              <a:rPr lang="ru-RU" sz="1200" b="1" i="0" u="none" strike="noStrike" baseline="0"/>
              <a:t>Структура обращений (по форме), поступивших в адрес Минтранс НСО  в 2022, 2021 и 2020 годах</a:t>
            </a:r>
            <a:endParaRPr lang="ru-RU" sz="1200"/>
          </a:p>
        </c:rich>
      </c:tx>
      <c:layout>
        <c:manualLayout>
          <c:xMode val="edge"/>
          <c:yMode val="edge"/>
          <c:x val="0.23960064887722374"/>
          <c:y val="5.9561929758780163E-2"/>
        </c:manualLayout>
      </c:layout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2022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1180</c:v>
                </c:pt>
                <c:pt idx="1">
                  <c:v>13</c:v>
                </c:pt>
                <c:pt idx="2">
                  <c:v>14</c:v>
                </c:pt>
                <c:pt idx="3">
                  <c:v>11</c:v>
                </c:pt>
                <c:pt idx="4">
                  <c:v>11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2021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1610</c:v>
                </c:pt>
                <c:pt idx="1">
                  <c:v>27</c:v>
                </c:pt>
                <c:pt idx="2">
                  <c:v>33</c:v>
                </c:pt>
                <c:pt idx="3">
                  <c:v>13</c:v>
                </c:pt>
                <c:pt idx="4">
                  <c:v>9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2020 год</c:v>
                </c:pt>
              </c:strCache>
            </c:strRef>
          </c:tx>
          <c:invertIfNegative val="0"/>
          <c:cat>
            <c:strRef>
              <c:f>Лист1!$A$2:$A$6</c:f>
              <c:strCache>
                <c:ptCount val="5"/>
                <c:pt idx="0">
                  <c:v>письменные</c:v>
                </c:pt>
                <c:pt idx="1">
                  <c:v>устные</c:v>
                </c:pt>
                <c:pt idx="2">
                  <c:v>электронная почта</c:v>
                </c:pt>
                <c:pt idx="3">
                  <c:v>личный прием</c:v>
                </c:pt>
                <c:pt idx="4">
                  <c:v>смс-сообщения</c:v>
                </c:pt>
              </c:strCache>
            </c:str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1110</c:v>
                </c:pt>
                <c:pt idx="1">
                  <c:v>41</c:v>
                </c:pt>
                <c:pt idx="2">
                  <c:v>51</c:v>
                </c:pt>
                <c:pt idx="3">
                  <c:v>23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94112000"/>
        <c:axId val="94130176"/>
        <c:axId val="0"/>
      </c:bar3DChart>
      <c:catAx>
        <c:axId val="94112000"/>
        <c:scaling>
          <c:orientation val="minMax"/>
        </c:scaling>
        <c:delete val="0"/>
        <c:axPos val="b"/>
        <c:majorTickMark val="none"/>
        <c:minorTickMark val="none"/>
        <c:tickLblPos val="nextTo"/>
        <c:crossAx val="94130176"/>
        <c:crosses val="autoZero"/>
        <c:auto val="1"/>
        <c:lblAlgn val="ctr"/>
        <c:lblOffset val="100"/>
        <c:noMultiLvlLbl val="0"/>
      </c:catAx>
      <c:valAx>
        <c:axId val="94130176"/>
        <c:scaling>
          <c:orientation val="minMax"/>
        </c:scaling>
        <c:delete val="0"/>
        <c:axPos val="l"/>
        <c:majorGridlines/>
        <c:numFmt formatCode="General" sourceLinked="1"/>
        <c:majorTickMark val="none"/>
        <c:minorTickMark val="none"/>
        <c:tickLblPos val="nextTo"/>
        <c:crossAx val="9411200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  <c:dispBlanksAs val="gap"/>
    <c:showDLblsOverMax val="0"/>
  </c:chart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 b="1" i="0" u="none" strike="noStrike" baseline="0"/>
              <a:t>Анализ поступивших обращений в Минтранс НСО в 2022 году в разрезе территорий Новосибирской области</a:t>
            </a:r>
            <a:endParaRPr lang="ru-RU" sz="1200"/>
          </a:p>
        </c:rich>
      </c:tx>
      <c:layout/>
      <c:overlay val="0"/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Столбец1</c:v>
                </c:pt>
              </c:strCache>
            </c:strRef>
          </c:tx>
          <c:explosion val="25"/>
          <c:dLbls>
            <c:dLbl>
              <c:idx val="0"/>
              <c:layout>
                <c:manualLayout>
                  <c:x val="2.1752970982793818E-2"/>
                  <c:y val="0.1150421488008244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1"/>
              <c:layout>
                <c:manualLayout>
                  <c:x val="-9.5345764071157781E-3"/>
                  <c:y val="-2.1576085701392089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3"/>
              <c:layout>
                <c:manualLayout>
                  <c:x val="-1.2414333624963547E-3"/>
                  <c:y val="-1.4437419384235215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5"/>
              <c:layout>
                <c:manualLayout>
                  <c:x val="2.0481280985710119E-2"/>
                  <c:y val="-0.13791307338425957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dLbl>
              <c:idx val="6"/>
              <c:layout>
                <c:manualLayout>
                  <c:x val="-1.5103437591134441E-2"/>
                  <c:y val="4.4331021122359704E-2"/>
                </c:manualLayout>
              </c:layout>
              <c:showLegendKey val="0"/>
              <c:showVal val="0"/>
              <c:showCatName val="1"/>
              <c:showSerName val="0"/>
              <c:showPercent val="1"/>
              <c:showBubbleSize val="0"/>
            </c:dLbl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Новосибирск</c:v>
                </c:pt>
                <c:pt idx="1">
                  <c:v>Искитим</c:v>
                </c:pt>
                <c:pt idx="2">
                  <c:v>Коченево</c:v>
                </c:pt>
                <c:pt idx="3">
                  <c:v>Кочки</c:v>
                </c:pt>
                <c:pt idx="4">
                  <c:v>Черепаново</c:v>
                </c:pt>
                <c:pt idx="5">
                  <c:v>Куйбышев</c:v>
                </c:pt>
                <c:pt idx="6">
                  <c:v>Колывань</c:v>
                </c:pt>
              </c:strCache>
            </c:strRef>
          </c:cat>
          <c:val>
            <c:numRef>
              <c:f>Лист1!$B$2:$B$8</c:f>
              <c:numCache>
                <c:formatCode>General</c:formatCode>
                <c:ptCount val="7"/>
                <c:pt idx="0">
                  <c:v>350</c:v>
                </c:pt>
                <c:pt idx="1">
                  <c:v>64</c:v>
                </c:pt>
                <c:pt idx="2">
                  <c:v>38</c:v>
                </c:pt>
                <c:pt idx="3">
                  <c:v>194</c:v>
                </c:pt>
                <c:pt idx="4">
                  <c:v>89</c:v>
                </c:pt>
                <c:pt idx="5">
                  <c:v>182</c:v>
                </c:pt>
                <c:pt idx="6">
                  <c:v>201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explosion val="25"/>
          <c:dLbls>
            <c:showLegendKey val="0"/>
            <c:showVal val="0"/>
            <c:showCatName val="1"/>
            <c:showSerName val="0"/>
            <c:showPercent val="1"/>
            <c:showBubbleSize val="0"/>
            <c:showLeaderLines val="1"/>
          </c:dLbls>
          <c:cat>
            <c:strRef>
              <c:f>Лист1!$A$2:$A$8</c:f>
              <c:strCache>
                <c:ptCount val="7"/>
                <c:pt idx="0">
                  <c:v>Новосибирск</c:v>
                </c:pt>
                <c:pt idx="1">
                  <c:v>Искитим</c:v>
                </c:pt>
                <c:pt idx="2">
                  <c:v>Коченево</c:v>
                </c:pt>
                <c:pt idx="3">
                  <c:v>Кочки</c:v>
                </c:pt>
                <c:pt idx="4">
                  <c:v>Черепаново</c:v>
                </c:pt>
                <c:pt idx="5">
                  <c:v>Куйбышев</c:v>
                </c:pt>
                <c:pt idx="6">
                  <c:v>Колывань</c:v>
                </c:pt>
              </c:strCache>
            </c:strRef>
          </c:cat>
          <c:val>
            <c:numRef>
              <c:f>Лист1!$C$2:$C$8</c:f>
              <c:numCache>
                <c:formatCode>General</c:formatCode>
                <c:ptCount val="7"/>
              </c:numCache>
            </c:numRef>
          </c:val>
        </c:ser>
        <c:dLbls>
          <c:showLegendKey val="0"/>
          <c:showVal val="0"/>
          <c:showCatName val="1"/>
          <c:showSerName val="0"/>
          <c:showPercent val="1"/>
          <c:showBubbleSize val="0"/>
          <c:showLeaderLines val="1"/>
        </c:dLbls>
        <c:firstSliceAng val="0"/>
      </c:pieChart>
    </c:plotArea>
    <c:plotVisOnly val="1"/>
    <c:dispBlanksAs val="zero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174EEA-5840-4F98-9FC0-635733B864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4152</TotalTime>
  <Pages>5</Pages>
  <Words>862</Words>
  <Characters>4919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Тимофеева Ольга Евгеньевна</dc:creator>
  <cp:lastModifiedBy>1</cp:lastModifiedBy>
  <cp:revision>57</cp:revision>
  <cp:lastPrinted>2022-10-07T08:25:00Z</cp:lastPrinted>
  <dcterms:created xsi:type="dcterms:W3CDTF">2022-10-04T03:14:00Z</dcterms:created>
  <dcterms:modified xsi:type="dcterms:W3CDTF">2023-01-30T04:37:00Z</dcterms:modified>
</cp:coreProperties>
</file>