
<file path=[Content_Types].xml><?xml version="1.0" encoding="utf-8"?>
<Types xmlns="http://schemas.openxmlformats.org/package/2006/content-types">
  <Default Extension="xlsx" ContentType="application/vnd.openxmlformats-officedocument.spreadsheetml.sheet"/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app.xml" ContentType="application/vnd.openxmlformats-officedocument.extended-properties+xml"/>
  <Override PartName="/word/charts/chart3.xml" ContentType="application/vnd.openxmlformats-officedocument.drawingml.chart+xml"/>
  <Override PartName="/docProps/core.xml" ContentType="application/vnd.openxmlformats-package.core-properties+xml"/>
  <Override PartName="/word/charts/style1.xml" ContentType="application/vnd.ms-office.chartstyle+xml"/>
  <Override PartName="/word/charts/chart4.xml" ContentType="application/vnd.openxmlformats-officedocument.drawingml.chart+xml"/>
  <Override PartName="/word/charts/chart2.xml" ContentType="application/vnd.openxmlformats-officedocument.drawingml.chart+xml"/>
  <Override PartName="/word/charts/chart1.xml" ContentType="application/vnd.openxmlformats-officedocument.drawingml.chart+xml"/>
  <Override PartName="/word/charts/colors1.xml" ContentType="application/vnd.ms-office.chartcolorstyle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right="-286"/>
        <w:shd w:val="clear" w:color="auto" w:fill="ffffff"/>
        <w:tabs>
          <w:tab w:val="left" w:pos="0" w:leader="none"/>
        </w:tabs>
        <w:rPr>
          <w:rFonts w:ascii="Times New Roman" w:hAnsi="Times New Roman" w:eastAsia="Times New Roman"/>
          <w:b/>
          <w:sz w:val="28"/>
          <w:szCs w:val="28"/>
          <w:lang w:eastAsia="ru-RU"/>
        </w:rPr>
        <w:outlineLvl w:val="0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Информационно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статистический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обзор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обращений,</w:t>
      </w:r>
      <w:r/>
    </w:p>
    <w:p>
      <w:pPr>
        <w:jc w:val="center"/>
        <w:shd w:val="clear" w:color="auto" w:fill="ffffff"/>
        <w:rPr>
          <w:rFonts w:ascii="Times New Roman" w:hAnsi="Times New Roman" w:eastAsia="Times New Roman"/>
          <w:b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рассмотренных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в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2-ом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года,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запросов информации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br/>
        <w:t xml:space="preserve">и обращений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нистерства транспорта и дорожного хозяйства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Новосибирской области, а также результатов рассмотрения обращений и принятых мер</w:t>
      </w:r>
      <w:r/>
    </w:p>
    <w:p>
      <w:pPr>
        <w:jc w:val="both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/>
    </w:p>
    <w:p>
      <w:pPr>
        <w:jc w:val="both"/>
        <w:spacing w:line="276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Рассмотрение письменных и ли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чных обращений, устных обращений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ми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нистерства транспорта и дорожного хозяйства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и ми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нистерства транспорта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(далее – министерство)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/>
    </w:p>
    <w:p>
      <w:pPr>
        <w:ind w:firstLine="709"/>
        <w:jc w:val="both"/>
        <w:spacing w:line="276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приемную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Минтранса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а также в форме электронного документа на официальный сайт министерства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либо на электронную почту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транспорта и дорожного хозяйства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либо лицом его замещающим.</w:t>
      </w:r>
      <w:r/>
    </w:p>
    <w:p>
      <w:pPr>
        <w:ind w:firstLine="720"/>
        <w:jc w:val="both"/>
        <w:spacing w:line="276" w:lineRule="auto"/>
        <w:rPr>
          <w:rStyle w:val="819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период с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0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1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04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.202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3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по 30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06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202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ми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нистерство транспорта и дорожного хозяйства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осибирской области поступило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444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первом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года-406, и во втором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429)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индивидуальн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ых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 коллективных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обращений, включая обращения объединений граждан, в том числе юридических лиц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Количество поступивших обращений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данном квартале увеличилось, в сравнении с первым кварталом 9% (на 38 обращения), со вторым кварталом прошлого года на 3% (на 15 обращений).</w:t>
      </w:r>
      <w:r/>
    </w:p>
    <w:p>
      <w:pPr>
        <w:jc w:val="both"/>
        <w:spacing w:line="276" w:lineRule="auto"/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b w:val="0"/>
          <w:bCs/>
          <w:color w:val="000000" w:themeColor="text1"/>
          <w:sz w:val="28"/>
          <w:szCs w:val="28"/>
        </w:rPr>
      </w:r>
      <w:r/>
    </w:p>
    <w:p>
      <w:pPr>
        <w:ind w:firstLine="720"/>
        <w:jc w:val="both"/>
        <w:spacing w:line="276" w:lineRule="auto"/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943634" w:themeColor="accent2" w:themeShade="BF"/>
          <w:sz w:val="28"/>
          <w:szCs w:val="28"/>
          <w:lang w:eastAsia="ru-RU"/>
        </w:rPr>
        <w:drawing>
          <wp:inline distT="0" distB="0" distL="0" distR="0">
            <wp:extent cx="6003232" cy="2401292"/>
            <wp:effectExtent l="4762" t="4762" r="4762" b="4762"/>
            <wp:docPr id="1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r/>
    </w:p>
    <w:p>
      <w:pPr>
        <w:jc w:val="both"/>
        <w:spacing w:line="276" w:lineRule="auto"/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     </w:t>
      </w:r>
      <w:r/>
    </w:p>
    <w:p>
      <w:pPr>
        <w:jc w:val="both"/>
        <w:spacing w:line="276" w:lineRule="auto"/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b w:val="0"/>
          <w:bCs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b w:val="0"/>
          <w:bCs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bCs/>
          <w:color w:val="ff0000"/>
          <w:sz w:val="28"/>
          <w:szCs w:val="28"/>
        </w:rPr>
        <w:sectPr>
          <w:footnotePr/>
          <w:endnotePr/>
          <w:type w:val="nextPage"/>
          <w:pgSz w:w="11906" w:h="16838" w:orient="portrait"/>
          <w:pgMar w:top="709" w:right="992" w:bottom="284" w:left="567" w:header="709" w:footer="709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bCs/>
          <w:color w:val="ff0000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sz w:val="28"/>
          <w:szCs w:val="28"/>
          <w:lang w:eastAsia="ru-RU"/>
        </w:rPr>
        <w:sectPr>
          <w:footnotePr/>
          <w:endnotePr/>
          <w:type w:val="continuous"/>
          <w:pgSz w:w="11906" w:h="16838" w:orient="portrait"/>
          <w:pgMar w:top="709" w:right="993" w:bottom="284" w:left="851" w:header="708" w:footer="708" w:gutter="0"/>
          <w:cols w:num="3" w:sep="0" w:space="708" w:equalWidth="1"/>
          <w:docGrid w:linePitch="360"/>
        </w:sectPr>
      </w:pPr>
      <w:r>
        <w:rPr>
          <w:rFonts w:ascii="Times New Roman" w:hAnsi="Times New Roman" w:cs="Times New Roman"/>
          <w:sz w:val="28"/>
          <w:szCs w:val="28"/>
          <w:lang w:eastAsia="ru-RU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96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втором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управлени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асти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первом квартале 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63,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втором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25)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Статистика показывает,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что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наибольшее количество поступивших обращений из общественной приемной губернатора составило во втором квартале 2022 года, в сравнении со вторым кварталом текущего года на 30% (на 29 обращений), с первым кварталом 2023 года на 98% (на 62 обращения). 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348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епосредственно в министерство,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первом квартале 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343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я, а во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втором квартале прошлого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304 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обращений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втором квартале 2023 года увеличилось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сравнении с кварталами, с первым кварталом на 1% (на 5 обращений), со вторым кварталом прошлого года 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14% (на 44 обращения).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286499" cy="3133724"/>
            <wp:effectExtent l="4762" t="4762" r="4762" b="4762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Из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числа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поступивших обращений во втором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414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письмен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ных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й,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втором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41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исьменное обращение, во втором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20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289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письменн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ых 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Количество письменных обращений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втором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2023 года увеличилось в сравнении с кварталами, с первым кварталом текущего года на 21% (на 73 обращения), со вторым кварталом прошлого года на 43% (на 125 обращений).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Во втором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квартале 20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2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3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года было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зарегистрировано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58 заявлений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первом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квартале </w:t>
      </w:r>
      <w:r>
        <w:rPr>
          <w:rStyle w:val="819"/>
          <w:rFonts w:ascii="Times New Roman" w:hAnsi="Times New Roman"/>
          <w:bCs/>
          <w:color w:val="000000" w:themeColor="text1"/>
          <w:sz w:val="28"/>
          <w:szCs w:val="28"/>
        </w:rPr>
        <w:t xml:space="preserve">2023 года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было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88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заявлени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й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о втором квартале 202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2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года-83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заявлени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я.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Количеств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о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заявлений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данном квартале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уменьшилось в сравнении с кварталами, с первым кварталом на 34% (на 30 заявлений), с прошлым годом на 43%(на 25 заявлений).</w:t>
      </w:r>
      <w:r/>
    </w:p>
    <w:p>
      <w:pPr>
        <w:jc w:val="both"/>
        <w:spacing w:line="276" w:lineRule="auto"/>
        <w:tabs>
          <w:tab w:val="left" w:pos="8760" w:leader="none"/>
        </w:tabs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Во втором квартале устных обращений не поступало,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первом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2023 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прошлом году поступило 10 устных обращений. 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втором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текущего 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личном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у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минист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 был принято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 гражданин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а,  в первом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2023 года на личный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прием к министру обратился 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гражданин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втором квартале прошлого года было принято 5 граждан.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837065" cy="3524613"/>
            <wp:effectExtent l="3175" t="3175" r="3175" b="3175"/>
            <wp:docPr id="3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r>
      <w:r/>
    </w:p>
    <w:p>
      <w:pPr>
        <w:jc w:val="both"/>
        <w:spacing w:before="240"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втором и первом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2023 года по электронной почте обращений не проступало, а во втором квартале прошлого года поступило 5 обращений.</w:t>
      </w:r>
      <w:r/>
    </w:p>
    <w:p>
      <w:pPr>
        <w:jc w:val="both"/>
        <w:spacing w:before="240"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втором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тале 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269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первом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поступило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-242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втором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190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Данная ст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атистика показывает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что в сравнении с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предыдущим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кварталами количество жалоб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увеличилось, с первым кварталом текущего года  на 11% (на 27 жалоб), со вторым  прошлого года 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42% (на 79 жалоб).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втором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18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запросов,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первом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 запр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осов, а во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втором квартале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17 запросов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втором 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первом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2023 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смс-сообщению обращений не поступало,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во втором ква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ртале прошлого года 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15 таких обращений.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данных кварталах предложений не поступало.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857999" cy="3924299"/>
            <wp:effectExtent l="4762" t="4762" r="4762" b="4762"/>
            <wp:docPr id="4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</w:t>
      </w:r>
      <w:r>
        <w:rPr>
          <w:rFonts w:ascii="Times New Roman" w:hAnsi="Times New Roman" w:cs="Times New Roman"/>
          <w:sz w:val="28"/>
          <w:szCs w:val="28"/>
        </w:rPr>
        <w:t xml:space="preserve">я направлены ответы заявителям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электронном виде,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форме 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 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Федеральным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законом от 02.05.2006 № 59-ФЗ «О порядке рассмотрения обращений граждан Российской Федерации»,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проведению личного приема граждан в ми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нистерстве транспорта и дорожного хозяйства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министерства от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12.04.2017 № 60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r/>
    </w:p>
    <w:p>
      <w:pPr>
        <w:jc w:val="both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За</w:t>
      </w:r>
      <w:r>
        <w:rPr>
          <w:rFonts w:ascii="Times New Roman" w:hAnsi="Times New Roman" w:cs="Times New Roman"/>
          <w:sz w:val="28"/>
          <w:szCs w:val="28"/>
        </w:rPr>
        <w:t xml:space="preserve">явителям даны письменные ответы</w:t>
      </w:r>
      <w:r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  <w:r/>
    </w:p>
    <w:p>
      <w:pPr>
        <w:jc w:val="both"/>
        <w:spacing w:line="276" w:lineRule="auto"/>
        <w:rPr>
          <w:rFonts w:ascii="Times New Roman" w:hAnsi="Times New Roman" w:eastAsia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   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Организация работы с обращениями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граждан в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министерстве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позволила во втором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202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года обеспечить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своевременное,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объективное и всестороннее р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ассмотрение обращений граждан,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/>
    </w:p>
    <w:sectPr>
      <w:footnotePr/>
      <w:endnotePr/>
      <w:type w:val="continuous"/>
      <w:pgSz w:w="11906" w:h="16838" w:orient="portrait"/>
      <w:pgMar w:top="709" w:right="993" w:bottom="284" w:left="567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</w:font>
  <w:font w:name="Courier New">
    <w:panose1 w:val="02070309020205020404"/>
  </w:font>
  <w:font w:name="Symbol">
    <w:panose1 w:val="05050102010706020507"/>
  </w:font>
  <w:font w:name="Tahoma">
    <w:panose1 w:val="020B0604030504040204"/>
  </w:font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4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60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6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4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60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6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40">
    <w:name w:val="Heading 1"/>
    <w:basedOn w:val="814"/>
    <w:next w:val="814"/>
    <w:link w:val="64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41">
    <w:name w:val="Heading 1 Char"/>
    <w:basedOn w:val="815"/>
    <w:link w:val="640"/>
    <w:uiPriority w:val="9"/>
    <w:rPr>
      <w:rFonts w:ascii="Arial" w:hAnsi="Arial" w:eastAsia="Arial" w:cs="Arial"/>
      <w:sz w:val="40"/>
      <w:szCs w:val="40"/>
    </w:rPr>
  </w:style>
  <w:style w:type="paragraph" w:styleId="642">
    <w:name w:val="Heading 2"/>
    <w:basedOn w:val="814"/>
    <w:next w:val="814"/>
    <w:link w:val="64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43">
    <w:name w:val="Heading 2 Char"/>
    <w:basedOn w:val="815"/>
    <w:link w:val="642"/>
    <w:uiPriority w:val="9"/>
    <w:rPr>
      <w:rFonts w:ascii="Arial" w:hAnsi="Arial" w:eastAsia="Arial" w:cs="Arial"/>
      <w:sz w:val="34"/>
    </w:rPr>
  </w:style>
  <w:style w:type="paragraph" w:styleId="644">
    <w:name w:val="Heading 3"/>
    <w:basedOn w:val="814"/>
    <w:next w:val="814"/>
    <w:link w:val="64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45">
    <w:name w:val="Heading 3 Char"/>
    <w:basedOn w:val="815"/>
    <w:link w:val="644"/>
    <w:uiPriority w:val="9"/>
    <w:rPr>
      <w:rFonts w:ascii="Arial" w:hAnsi="Arial" w:eastAsia="Arial" w:cs="Arial"/>
      <w:sz w:val="30"/>
      <w:szCs w:val="30"/>
    </w:rPr>
  </w:style>
  <w:style w:type="paragraph" w:styleId="646">
    <w:name w:val="Heading 4"/>
    <w:basedOn w:val="814"/>
    <w:next w:val="814"/>
    <w:link w:val="64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47">
    <w:name w:val="Heading 4 Char"/>
    <w:basedOn w:val="815"/>
    <w:link w:val="646"/>
    <w:uiPriority w:val="9"/>
    <w:rPr>
      <w:rFonts w:ascii="Arial" w:hAnsi="Arial" w:eastAsia="Arial" w:cs="Arial"/>
      <w:b/>
      <w:bCs/>
      <w:sz w:val="26"/>
      <w:szCs w:val="26"/>
    </w:rPr>
  </w:style>
  <w:style w:type="paragraph" w:styleId="648">
    <w:name w:val="Heading 5"/>
    <w:basedOn w:val="814"/>
    <w:next w:val="814"/>
    <w:link w:val="64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49">
    <w:name w:val="Heading 5 Char"/>
    <w:basedOn w:val="815"/>
    <w:link w:val="648"/>
    <w:uiPriority w:val="9"/>
    <w:rPr>
      <w:rFonts w:ascii="Arial" w:hAnsi="Arial" w:eastAsia="Arial" w:cs="Arial"/>
      <w:b/>
      <w:bCs/>
      <w:sz w:val="24"/>
      <w:szCs w:val="24"/>
    </w:rPr>
  </w:style>
  <w:style w:type="paragraph" w:styleId="650">
    <w:name w:val="Heading 6"/>
    <w:basedOn w:val="814"/>
    <w:next w:val="814"/>
    <w:link w:val="65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51">
    <w:name w:val="Heading 6 Char"/>
    <w:basedOn w:val="815"/>
    <w:link w:val="650"/>
    <w:uiPriority w:val="9"/>
    <w:rPr>
      <w:rFonts w:ascii="Arial" w:hAnsi="Arial" w:eastAsia="Arial" w:cs="Arial"/>
      <w:b/>
      <w:bCs/>
      <w:sz w:val="22"/>
      <w:szCs w:val="22"/>
    </w:rPr>
  </w:style>
  <w:style w:type="paragraph" w:styleId="652">
    <w:name w:val="Heading 7"/>
    <w:basedOn w:val="814"/>
    <w:next w:val="814"/>
    <w:link w:val="65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53">
    <w:name w:val="Heading 7 Char"/>
    <w:basedOn w:val="815"/>
    <w:link w:val="65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54">
    <w:name w:val="Heading 8"/>
    <w:basedOn w:val="814"/>
    <w:next w:val="814"/>
    <w:link w:val="65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55">
    <w:name w:val="Heading 8 Char"/>
    <w:basedOn w:val="815"/>
    <w:link w:val="654"/>
    <w:uiPriority w:val="9"/>
    <w:rPr>
      <w:rFonts w:ascii="Arial" w:hAnsi="Arial" w:eastAsia="Arial" w:cs="Arial"/>
      <w:i/>
      <w:iCs/>
      <w:sz w:val="22"/>
      <w:szCs w:val="22"/>
    </w:rPr>
  </w:style>
  <w:style w:type="paragraph" w:styleId="656">
    <w:name w:val="Heading 9"/>
    <w:basedOn w:val="814"/>
    <w:next w:val="814"/>
    <w:link w:val="65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57">
    <w:name w:val="Heading 9 Char"/>
    <w:basedOn w:val="815"/>
    <w:link w:val="656"/>
    <w:uiPriority w:val="9"/>
    <w:rPr>
      <w:rFonts w:ascii="Arial" w:hAnsi="Arial" w:eastAsia="Arial" w:cs="Arial"/>
      <w:i/>
      <w:iCs/>
      <w:sz w:val="21"/>
      <w:szCs w:val="21"/>
    </w:rPr>
  </w:style>
  <w:style w:type="paragraph" w:styleId="658">
    <w:name w:val="No Spacing"/>
    <w:uiPriority w:val="1"/>
    <w:qFormat/>
    <w:pPr>
      <w:spacing w:before="0" w:after="0" w:line="240" w:lineRule="auto"/>
    </w:pPr>
  </w:style>
  <w:style w:type="paragraph" w:styleId="659">
    <w:name w:val="Title"/>
    <w:basedOn w:val="814"/>
    <w:next w:val="814"/>
    <w:link w:val="660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60">
    <w:name w:val="Title Char"/>
    <w:basedOn w:val="815"/>
    <w:link w:val="659"/>
    <w:uiPriority w:val="10"/>
    <w:rPr>
      <w:sz w:val="48"/>
      <w:szCs w:val="48"/>
    </w:rPr>
  </w:style>
  <w:style w:type="paragraph" w:styleId="661">
    <w:name w:val="Subtitle"/>
    <w:basedOn w:val="814"/>
    <w:next w:val="814"/>
    <w:link w:val="662"/>
    <w:uiPriority w:val="11"/>
    <w:qFormat/>
    <w:pPr>
      <w:spacing w:before="200" w:after="200"/>
    </w:pPr>
    <w:rPr>
      <w:sz w:val="24"/>
      <w:szCs w:val="24"/>
    </w:rPr>
  </w:style>
  <w:style w:type="character" w:styleId="662">
    <w:name w:val="Subtitle Char"/>
    <w:basedOn w:val="815"/>
    <w:link w:val="661"/>
    <w:uiPriority w:val="11"/>
    <w:rPr>
      <w:sz w:val="24"/>
      <w:szCs w:val="24"/>
    </w:rPr>
  </w:style>
  <w:style w:type="paragraph" w:styleId="663">
    <w:name w:val="Quote"/>
    <w:basedOn w:val="814"/>
    <w:next w:val="814"/>
    <w:link w:val="664"/>
    <w:uiPriority w:val="29"/>
    <w:qFormat/>
    <w:pPr>
      <w:ind w:left="720" w:right="720"/>
    </w:pPr>
    <w:rPr>
      <w:i/>
    </w:rPr>
  </w:style>
  <w:style w:type="character" w:styleId="664">
    <w:name w:val="Quote Char"/>
    <w:link w:val="663"/>
    <w:uiPriority w:val="29"/>
    <w:rPr>
      <w:i/>
    </w:rPr>
  </w:style>
  <w:style w:type="paragraph" w:styleId="665">
    <w:name w:val="Intense Quote"/>
    <w:basedOn w:val="814"/>
    <w:next w:val="814"/>
    <w:link w:val="666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66">
    <w:name w:val="Intense Quote Char"/>
    <w:link w:val="665"/>
    <w:uiPriority w:val="30"/>
    <w:rPr>
      <w:i/>
    </w:rPr>
  </w:style>
  <w:style w:type="character" w:styleId="667">
    <w:name w:val="Header Char"/>
    <w:basedOn w:val="815"/>
    <w:link w:val="823"/>
    <w:uiPriority w:val="99"/>
  </w:style>
  <w:style w:type="character" w:styleId="668">
    <w:name w:val="Footer Char"/>
    <w:basedOn w:val="815"/>
    <w:link w:val="825"/>
    <w:uiPriority w:val="99"/>
  </w:style>
  <w:style w:type="paragraph" w:styleId="669">
    <w:name w:val="Caption"/>
    <w:basedOn w:val="814"/>
    <w:next w:val="81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70">
    <w:name w:val="Caption Char"/>
    <w:basedOn w:val="669"/>
    <w:link w:val="825"/>
    <w:uiPriority w:val="99"/>
  </w:style>
  <w:style w:type="table" w:styleId="671">
    <w:name w:val="Table Grid Light"/>
    <w:basedOn w:val="81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72">
    <w:name w:val="Plain Table 1"/>
    <w:basedOn w:val="81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3">
    <w:name w:val="Plain Table 2"/>
    <w:basedOn w:val="81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4">
    <w:name w:val="Plain Table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75">
    <w:name w:val="Plain Table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6">
    <w:name w:val="Plain Table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77">
    <w:name w:val="Grid Table 1 Light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8">
    <w:name w:val="Grid Table 1 Light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9">
    <w:name w:val="Grid Table 1 Light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0">
    <w:name w:val="Grid Table 1 Light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1">
    <w:name w:val="Grid Table 1 Light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2">
    <w:name w:val="Grid Table 1 Light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3">
    <w:name w:val="Grid Table 1 Light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4">
    <w:name w:val="Grid Table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5">
    <w:name w:val="Grid Table 2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6">
    <w:name w:val="Grid Table 2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7">
    <w:name w:val="Grid Table 2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8">
    <w:name w:val="Grid Table 2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9">
    <w:name w:val="Grid Table 2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0">
    <w:name w:val="Grid Table 2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1">
    <w:name w:val="Grid Table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2">
    <w:name w:val="Grid Table 3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3">
    <w:name w:val="Grid Table 3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4">
    <w:name w:val="Grid Table 3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5">
    <w:name w:val="Grid Table 3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6">
    <w:name w:val="Grid Table 3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7">
    <w:name w:val="Grid Table 3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8">
    <w:name w:val="Grid Table 4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699">
    <w:name w:val="Grid Table 4 - Accent 1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00">
    <w:name w:val="Grid Table 4 - Accent 2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01">
    <w:name w:val="Grid Table 4 - Accent 3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02">
    <w:name w:val="Grid Table 4 - Accent 4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03">
    <w:name w:val="Grid Table 4 - Accent 5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04">
    <w:name w:val="Grid Table 4 - Accent 6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05">
    <w:name w:val="Grid Table 5 Dark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06">
    <w:name w:val="Grid Table 5 Dark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07">
    <w:name w:val="Grid Table 5 Dark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08">
    <w:name w:val="Grid Table 5 Dark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09">
    <w:name w:val="Grid Table 5 Dark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10">
    <w:name w:val="Grid Table 5 Dark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11">
    <w:name w:val="Grid Table 5 Dark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12">
    <w:name w:val="Grid Table 6 Colorful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13">
    <w:name w:val="Grid Table 6 Colorful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14">
    <w:name w:val="Grid Table 6 Colorful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15">
    <w:name w:val="Grid Table 6 Colorful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16">
    <w:name w:val="Grid Table 6 Colorful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17">
    <w:name w:val="Grid Table 6 Colorful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18">
    <w:name w:val="Grid Table 6 Colorful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19">
    <w:name w:val="Grid Table 7 Colorful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7 Colorful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7 Colorful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7 Colorful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7 Colorful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7 Colorful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7 Colorful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List Table 1 Light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List Table 1 Light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List Table 1 Light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List Table 1 Light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List Table 1 Light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List Table 1 Light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List Table 1 Light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List Table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34">
    <w:name w:val="List Table 2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35">
    <w:name w:val="List Table 2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36">
    <w:name w:val="List Table 2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37">
    <w:name w:val="List Table 2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38">
    <w:name w:val="List Table 2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39">
    <w:name w:val="List Table 2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40">
    <w:name w:val="List Table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List Table 3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List Table 3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3">
    <w:name w:val="List Table 3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>
    <w:name w:val="List Table 3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5">
    <w:name w:val="List Table 3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List Table 3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>
    <w:name w:val="List Table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List Table 4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List Table 4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List Table 4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List Table 4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List Table 4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List Table 4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List Table 5 Dark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5">
    <w:name w:val="List Table 5 Dark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6">
    <w:name w:val="List Table 5 Dark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7">
    <w:name w:val="List Table 5 Dark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8">
    <w:name w:val="List Table 5 Dark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9">
    <w:name w:val="List Table 5 Dark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0">
    <w:name w:val="List Table 5 Dark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1">
    <w:name w:val="List Table 6 Colorful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62">
    <w:name w:val="List Table 6 Colorful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63">
    <w:name w:val="List Table 6 Colorful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64">
    <w:name w:val="List Table 6 Colorful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65">
    <w:name w:val="List Table 6 Colorful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66">
    <w:name w:val="List Table 6 Colorful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67">
    <w:name w:val="List Table 6 Colorful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68">
    <w:name w:val="List Table 7 Colorful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69">
    <w:name w:val="List Table 7 Colorful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70">
    <w:name w:val="List Table 7 Colorful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71">
    <w:name w:val="List Table 7 Colorful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72">
    <w:name w:val="List Table 7 Colorful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73">
    <w:name w:val="List Table 7 Colorful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74">
    <w:name w:val="List Table 7 Colorful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75">
    <w:name w:val="Lined - Accent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76">
    <w:name w:val="Lined - Accent 1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77">
    <w:name w:val="Lined - Accent 2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78">
    <w:name w:val="Lined - Accent 3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79">
    <w:name w:val="Lined - Accent 4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80">
    <w:name w:val="Lined - Accent 5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81">
    <w:name w:val="Lined - Accent 6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82">
    <w:name w:val="Bordered &amp; Lined - Accent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83">
    <w:name w:val="Bordered &amp; Lined - Accent 1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84">
    <w:name w:val="Bordered &amp; Lined - Accent 2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85">
    <w:name w:val="Bordered &amp; Lined - Accent 3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86">
    <w:name w:val="Bordered &amp; Lined - Accent 4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87">
    <w:name w:val="Bordered &amp; Lined - Accent 5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88">
    <w:name w:val="Bordered &amp; Lined - Accent 6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89">
    <w:name w:val="Bordered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790">
    <w:name w:val="Bordered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791">
    <w:name w:val="Bordered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792">
    <w:name w:val="Bordered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793">
    <w:name w:val="Bordered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794">
    <w:name w:val="Bordered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795">
    <w:name w:val="Bordered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796">
    <w:name w:val="Hyperlink"/>
    <w:uiPriority w:val="99"/>
    <w:unhideWhenUsed/>
    <w:rPr>
      <w:color w:val="0000ff" w:themeColor="hyperlink"/>
      <w:u w:val="single"/>
    </w:rPr>
  </w:style>
  <w:style w:type="paragraph" w:styleId="797">
    <w:name w:val="footnote text"/>
    <w:basedOn w:val="814"/>
    <w:link w:val="798"/>
    <w:uiPriority w:val="99"/>
    <w:semiHidden/>
    <w:unhideWhenUsed/>
    <w:pPr>
      <w:spacing w:after="40" w:line="240" w:lineRule="auto"/>
    </w:pPr>
    <w:rPr>
      <w:sz w:val="18"/>
    </w:rPr>
  </w:style>
  <w:style w:type="character" w:styleId="798">
    <w:name w:val="Footnote Text Char"/>
    <w:link w:val="797"/>
    <w:uiPriority w:val="99"/>
    <w:rPr>
      <w:sz w:val="18"/>
    </w:rPr>
  </w:style>
  <w:style w:type="character" w:styleId="799">
    <w:name w:val="footnote reference"/>
    <w:basedOn w:val="815"/>
    <w:uiPriority w:val="99"/>
    <w:unhideWhenUsed/>
    <w:rPr>
      <w:vertAlign w:val="superscript"/>
    </w:rPr>
  </w:style>
  <w:style w:type="paragraph" w:styleId="800">
    <w:name w:val="endnote text"/>
    <w:basedOn w:val="814"/>
    <w:link w:val="801"/>
    <w:uiPriority w:val="99"/>
    <w:semiHidden/>
    <w:unhideWhenUsed/>
    <w:pPr>
      <w:spacing w:after="0" w:line="240" w:lineRule="auto"/>
    </w:pPr>
    <w:rPr>
      <w:sz w:val="20"/>
    </w:rPr>
  </w:style>
  <w:style w:type="character" w:styleId="801">
    <w:name w:val="Endnote Text Char"/>
    <w:link w:val="800"/>
    <w:uiPriority w:val="99"/>
    <w:rPr>
      <w:sz w:val="20"/>
    </w:rPr>
  </w:style>
  <w:style w:type="character" w:styleId="802">
    <w:name w:val="endnote reference"/>
    <w:basedOn w:val="815"/>
    <w:uiPriority w:val="99"/>
    <w:semiHidden/>
    <w:unhideWhenUsed/>
    <w:rPr>
      <w:vertAlign w:val="superscript"/>
    </w:rPr>
  </w:style>
  <w:style w:type="paragraph" w:styleId="803">
    <w:name w:val="toc 1"/>
    <w:basedOn w:val="814"/>
    <w:next w:val="814"/>
    <w:uiPriority w:val="39"/>
    <w:unhideWhenUsed/>
    <w:pPr>
      <w:ind w:left="0" w:right="0" w:firstLine="0"/>
      <w:spacing w:after="57"/>
    </w:pPr>
  </w:style>
  <w:style w:type="paragraph" w:styleId="804">
    <w:name w:val="toc 2"/>
    <w:basedOn w:val="814"/>
    <w:next w:val="814"/>
    <w:uiPriority w:val="39"/>
    <w:unhideWhenUsed/>
    <w:pPr>
      <w:ind w:left="283" w:right="0" w:firstLine="0"/>
      <w:spacing w:after="57"/>
    </w:pPr>
  </w:style>
  <w:style w:type="paragraph" w:styleId="805">
    <w:name w:val="toc 3"/>
    <w:basedOn w:val="814"/>
    <w:next w:val="814"/>
    <w:uiPriority w:val="39"/>
    <w:unhideWhenUsed/>
    <w:pPr>
      <w:ind w:left="567" w:right="0" w:firstLine="0"/>
      <w:spacing w:after="57"/>
    </w:pPr>
  </w:style>
  <w:style w:type="paragraph" w:styleId="806">
    <w:name w:val="toc 4"/>
    <w:basedOn w:val="814"/>
    <w:next w:val="814"/>
    <w:uiPriority w:val="39"/>
    <w:unhideWhenUsed/>
    <w:pPr>
      <w:ind w:left="850" w:right="0" w:firstLine="0"/>
      <w:spacing w:after="57"/>
    </w:pPr>
  </w:style>
  <w:style w:type="paragraph" w:styleId="807">
    <w:name w:val="toc 5"/>
    <w:basedOn w:val="814"/>
    <w:next w:val="814"/>
    <w:uiPriority w:val="39"/>
    <w:unhideWhenUsed/>
    <w:pPr>
      <w:ind w:left="1134" w:right="0" w:firstLine="0"/>
      <w:spacing w:after="57"/>
    </w:pPr>
  </w:style>
  <w:style w:type="paragraph" w:styleId="808">
    <w:name w:val="toc 6"/>
    <w:basedOn w:val="814"/>
    <w:next w:val="814"/>
    <w:uiPriority w:val="39"/>
    <w:unhideWhenUsed/>
    <w:pPr>
      <w:ind w:left="1417" w:right="0" w:firstLine="0"/>
      <w:spacing w:after="57"/>
    </w:pPr>
  </w:style>
  <w:style w:type="paragraph" w:styleId="809">
    <w:name w:val="toc 7"/>
    <w:basedOn w:val="814"/>
    <w:next w:val="814"/>
    <w:uiPriority w:val="39"/>
    <w:unhideWhenUsed/>
    <w:pPr>
      <w:ind w:left="1701" w:right="0" w:firstLine="0"/>
      <w:spacing w:after="57"/>
    </w:pPr>
  </w:style>
  <w:style w:type="paragraph" w:styleId="810">
    <w:name w:val="toc 8"/>
    <w:basedOn w:val="814"/>
    <w:next w:val="814"/>
    <w:uiPriority w:val="39"/>
    <w:unhideWhenUsed/>
    <w:pPr>
      <w:ind w:left="1984" w:right="0" w:firstLine="0"/>
      <w:spacing w:after="57"/>
    </w:pPr>
  </w:style>
  <w:style w:type="paragraph" w:styleId="811">
    <w:name w:val="toc 9"/>
    <w:basedOn w:val="814"/>
    <w:next w:val="814"/>
    <w:uiPriority w:val="39"/>
    <w:unhideWhenUsed/>
    <w:pPr>
      <w:ind w:left="2268" w:right="0" w:firstLine="0"/>
      <w:spacing w:after="57"/>
    </w:pPr>
  </w:style>
  <w:style w:type="paragraph" w:styleId="812">
    <w:name w:val="TOC Heading"/>
    <w:uiPriority w:val="39"/>
    <w:unhideWhenUsed/>
  </w:style>
  <w:style w:type="paragraph" w:styleId="813">
    <w:name w:val="table of figures"/>
    <w:basedOn w:val="814"/>
    <w:next w:val="814"/>
    <w:uiPriority w:val="99"/>
    <w:unhideWhenUsed/>
    <w:pPr>
      <w:spacing w:after="0" w:afterAutospacing="0"/>
    </w:pPr>
  </w:style>
  <w:style w:type="paragraph" w:styleId="814" w:default="1">
    <w:name w:val="Normal"/>
    <w:qFormat/>
    <w:pPr>
      <w:spacing w:after="0" w:line="240" w:lineRule="auto"/>
    </w:pPr>
    <w:rPr>
      <w:rFonts w:ascii="Calibri" w:hAnsi="Calibri" w:cs="Calibri"/>
    </w:rPr>
  </w:style>
  <w:style w:type="character" w:styleId="815" w:default="1">
    <w:name w:val="Default Paragraph Font"/>
    <w:uiPriority w:val="1"/>
    <w:semiHidden/>
    <w:unhideWhenUsed/>
  </w:style>
  <w:style w:type="table" w:styleId="81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17" w:default="1">
    <w:name w:val="No List"/>
    <w:uiPriority w:val="99"/>
    <w:semiHidden/>
    <w:unhideWhenUsed/>
  </w:style>
  <w:style w:type="paragraph" w:styleId="818">
    <w:name w:val="List Paragraph"/>
    <w:basedOn w:val="814"/>
    <w:uiPriority w:val="34"/>
    <w:qFormat/>
    <w:pPr>
      <w:contextualSpacing/>
      <w:ind w:left="720"/>
    </w:pPr>
  </w:style>
  <w:style w:type="character" w:styleId="819">
    <w:name w:val="Strong"/>
    <w:basedOn w:val="815"/>
    <w:uiPriority w:val="22"/>
    <w:qFormat/>
    <w:rPr>
      <w:rFonts w:cs="Times New Roman"/>
      <w:b/>
    </w:rPr>
  </w:style>
  <w:style w:type="paragraph" w:styleId="820">
    <w:name w:val="Balloon Text"/>
    <w:basedOn w:val="814"/>
    <w:link w:val="821"/>
    <w:uiPriority w:val="99"/>
    <w:semiHidden/>
    <w:unhideWhenUsed/>
    <w:rPr>
      <w:rFonts w:ascii="Tahoma" w:hAnsi="Tahoma" w:cs="Tahoma"/>
      <w:sz w:val="16"/>
      <w:szCs w:val="16"/>
    </w:rPr>
  </w:style>
  <w:style w:type="character" w:styleId="821" w:customStyle="1">
    <w:name w:val="Текст выноски Знак"/>
    <w:basedOn w:val="815"/>
    <w:link w:val="820"/>
    <w:uiPriority w:val="99"/>
    <w:semiHidden/>
    <w:rPr>
      <w:rFonts w:ascii="Tahoma" w:hAnsi="Tahoma" w:cs="Tahoma"/>
      <w:sz w:val="16"/>
      <w:szCs w:val="16"/>
    </w:rPr>
  </w:style>
  <w:style w:type="table" w:styleId="822">
    <w:name w:val="Table Grid"/>
    <w:basedOn w:val="816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23">
    <w:name w:val="Header"/>
    <w:basedOn w:val="814"/>
    <w:link w:val="824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24" w:customStyle="1">
    <w:name w:val="Верхний колонтитул Знак"/>
    <w:basedOn w:val="815"/>
    <w:link w:val="823"/>
    <w:uiPriority w:val="99"/>
    <w:rPr>
      <w:rFonts w:ascii="Calibri" w:hAnsi="Calibri" w:cs="Calibri"/>
    </w:rPr>
  </w:style>
  <w:style w:type="paragraph" w:styleId="825">
    <w:name w:val="Footer"/>
    <w:basedOn w:val="814"/>
    <w:link w:val="826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26" w:customStyle="1">
    <w:name w:val="Нижний колонтитул Знак"/>
    <w:basedOn w:val="815"/>
    <w:link w:val="825"/>
    <w:uiPriority w:val="99"/>
    <w:rPr>
      <w:rFonts w:ascii="Calibri" w:hAnsi="Calibri" w:cs="Calibri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chart" Target="charts/chart1.xml" /><Relationship Id="rId11" Type="http://schemas.openxmlformats.org/officeDocument/2006/relationships/chart" Target="charts/chart2.xml" /><Relationship Id="rId12" Type="http://schemas.openxmlformats.org/officeDocument/2006/relationships/chart" Target="charts/chart3.xml" /><Relationship Id="rId13" Type="http://schemas.openxmlformats.org/officeDocument/2006/relationships/chart" Target="charts/chart4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charts/_rels/chart1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1.xlsx" /></Relationships>
</file>

<file path=word/charts/_rels/chart2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2.xlsx" /></Relationships>
</file>

<file path=word/charts/_rels/chart3.xml.rels><?xml version="1.0" encoding="UTF-8" standalone="yes"?><Relationships xmlns="http://schemas.openxmlformats.org/package/2006/relationships"><Relationship Id="rId1" Type="http://schemas.microsoft.com/office/2011/relationships/chartStyle" Target="style1.xml" /><Relationship Id="rId2" Type="http://schemas.microsoft.com/office/2011/relationships/chartColorStyle" Target="colors1.xml" /><Relationship Id="rId3" Type="http://schemas.openxmlformats.org/officeDocument/2006/relationships/package" Target="../embeddings/Microsoft_Excel_Worksheet3.xlsx" /></Relationships>
</file>

<file path=word/charts/_rels/chart4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4.xlsx" 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4="http://schemas.microsoft.com/office/drawing/2007/8/2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 поступивших обращений</a:t>
            </a:r>
            <a:r>
              <a:rPr lang="en-US" sz="1200"/>
              <a:t> </a:t>
            </a:r>
            <a:r>
              <a:rPr lang="ru-RU" sz="1200"/>
              <a:t>в Минтранс НСО в</a:t>
            </a:r>
            <a:r>
              <a:rPr lang="ru-RU" sz="1200"/>
              <a:t>о втором квартале</a:t>
            </a:r>
            <a:r>
              <a:rPr lang="ru-RU" sz="1200"/>
              <a:t> 2023 года в сравнении с</a:t>
            </a:r>
            <a:r>
              <a:rPr lang="ru-RU" sz="1200"/>
              <a:t> первым</a:t>
            </a:r>
            <a:r>
              <a:rPr lang="ru-RU" sz="1200"/>
              <a:t>  кварталом </a:t>
            </a:r>
            <a:r>
              <a:rPr lang="ru-RU" sz="1200"/>
              <a:t> 2023</a:t>
            </a:r>
            <a:r>
              <a:rPr lang="ru-RU" sz="1200"/>
              <a:t> года  </a:t>
            </a:r>
            <a:endParaRPr/>
          </a:p>
          <a:p>
            <a:pPr>
              <a:defRPr/>
            </a:pPr>
            <a:r>
              <a:rPr lang="ru-RU" sz="1200"/>
              <a:t>и вторым кварталом 2022 года  </a:t>
            </a:r>
            <a:endParaRPr/>
          </a:p>
        </c:rich>
      </c:tx>
      <c:layout>
        <c:manualLayout>
          <c:xMode val="edge"/>
          <c:yMode val="edge"/>
          <c:x val="0.12651000000000001"/>
          <c:y val="0.037019999999999997"/>
        </c:manualLayout>
      </c:layout>
      <c:overlay val="0"/>
    </c:title>
    <c:autoTitleDeleted val="0"/>
    <c:view3D>
      <c:rotX val="30"/>
      <c:rotY val="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 xml:space="preserve">Количество поступивших обращений</c:v>
                </c:pt>
              </c:strCache>
            </c:strRef>
          </c:tx>
          <c:dLbls>
            <c:dLblPos val="ctr"/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Лист1!$A$2:$A$5</c:f>
              <c:strCache>
                <c:ptCount val="4"/>
                <c:pt idx="1">
                  <c:v xml:space="preserve">2 квартал 2023 года</c:v>
                </c:pt>
                <c:pt idx="2">
                  <c:v xml:space="preserve">1 квартал 2023 года</c:v>
                </c:pt>
                <c:pt idx="3">
                  <c:v xml:space="preserve">2 квартал 2022 года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444</c:v>
                </c:pt>
                <c:pt idx="2">
                  <c:v>406</c:v>
                </c:pt>
                <c:pt idx="3">
                  <c:v>429</c:v>
                </c:pt>
              </c:numCache>
            </c:numRef>
          </c:val>
        </c:ser>
        <c:dLbls>
          <c:dLblPos val="ctr"/>
          <c:showBubbleSize val="0"/>
          <c:showCatName val="0"/>
          <c:showLeaderLines val="0"/>
          <c:showLegendKey val="0"/>
          <c:showPercent val="0"/>
          <c:showSerName val="0"/>
          <c:showVal val="0"/>
        </c:dLbls>
      </c:pie3DChart>
    </c:plotArea>
    <c:legend>
      <c:legendPos val="t"/>
      <c:legendEntry>
        <c:idx val="0"/>
        <c:delete val="1"/>
      </c:legendEntry>
      <c:layout>
        <c:manualLayout>
          <c:x val="-0.0079299999999999995"/>
          <c:y val="0"/>
        </c:manualLayout>
      </c:layout>
      <c:overlay val="0"/>
    </c:legend>
    <c:plotVisOnly val="1"/>
    <c:dispBlanksAs val="gap"/>
    <c:showDLblsOverMax val="0"/>
  </c:chart>
  <c:spPr bwMode="auto">
    <a:xfrm>
      <a:off x="0" y="0"/>
      <a:ext cx="6003231" cy="2401291"/>
    </a:xfrm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4="http://schemas.microsoft.com/office/drawing/2007/8/2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</a:t>
            </a:r>
            <a:r>
              <a:rPr lang="ru-RU" sz="1200"/>
              <a:t> обращений поступивших в адрес Минтранса НСО во втором квартале 2023 года, в сравнении  с первым  кварталом  2023 года и вторым кварталом 2022 года</a:t>
            </a:r>
            <a:endParaRPr lang="ru-RU" sz="1200"/>
          </a:p>
        </c:rich>
      </c:tx>
      <c:layout>
        <c:manualLayout>
          <c:xMode val="edge"/>
          <c:yMode val="edge"/>
          <c:x val="0.13428999999999999"/>
          <c:y val="0.017250000000000001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 xml:space="preserve">2 квартал 2023 год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Лист1!$A$2:$A$5</c:f>
              <c:strCache>
                <c:ptCount val="3"/>
                <c:pt idx="1">
                  <c:v xml:space="preserve">общественная приемная</c:v>
                </c:pt>
                <c:pt idx="2">
                  <c:v xml:space="preserve">непосредственно в министерство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96</c:v>
                </c:pt>
                <c:pt idx="2">
                  <c:v>348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 xml:space="preserve">1 квартал 2023 год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Лист1!$A$2:$A$5</c:f>
              <c:strCache>
                <c:ptCount val="3"/>
                <c:pt idx="1">
                  <c:v xml:space="preserve">общественная приемная</c:v>
                </c:pt>
                <c:pt idx="2">
                  <c:v xml:space="preserve">непосредственно в министерство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63</c:v>
                </c:pt>
                <c:pt idx="2">
                  <c:v>343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 xml:space="preserve">2 квартал 2022 год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Лист1!$A$2:$A$5</c:f>
              <c:strCache>
                <c:ptCount val="3"/>
                <c:pt idx="1">
                  <c:v xml:space="preserve">общественная приемная</c:v>
                </c:pt>
                <c:pt idx="2">
                  <c:v xml:space="preserve">непосредственно в министерство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125</c:v>
                </c:pt>
                <c:pt idx="2">
                  <c:v>304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Лист1!$A$2:$A$5</c:f>
              <c:strCache>
                <c:ptCount val="3"/>
                <c:pt idx="1">
                  <c:v xml:space="preserve">общественная приемная</c:v>
                </c:pt>
                <c:pt idx="2">
                  <c:v xml:space="preserve">непосредственно в министерство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1"/>
        </c:dLbls>
        <c:gapWidth val="95"/>
        <c:gapDepth val="95"/>
        <c:shape val="cylinder"/>
        <c:axId val="73373184"/>
        <c:axId val="73374720"/>
      </c:bar3DChart>
      <c:catAx>
        <c:axId val="73373184"/>
        <c:scaling>
          <c:orientation val="minMax"/>
        </c:scaling>
        <c:delete val="0"/>
        <c:axPos val="l"/>
        <c:majorGridlines>
          <c:spPr bwMode="auto"/>
        </c:majorGridlines>
        <c:minorGridlines>
          <c:spPr bwMode="auto"/>
        </c:minorGridlines>
        <c:numFmt formatCode="General" sourceLinked="0"/>
        <c:majorTickMark val="none"/>
        <c:minorTickMark val="none"/>
        <c:tickLblPos val="nextTo"/>
        <c:crossAx val="73374720"/>
        <c:crosses val="autoZero"/>
        <c:auto val="1"/>
        <c:lblAlgn val="ctr"/>
        <c:lblOffset val="100"/>
        <c:noMultiLvlLbl val="0"/>
      </c:catAx>
      <c:valAx>
        <c:axId val="73374720"/>
        <c:scaling>
          <c:orientation val="minMax"/>
        </c:scaling>
        <c:delete val="1"/>
        <c:axPos val="b"/>
        <c:majorGridlines>
          <c:spPr bwMode="auto"/>
        </c:majorGridlines>
        <c:minorGridlines>
          <c:spPr bwMode="auto"/>
        </c:minorGridlines>
        <c:numFmt formatCode="General" sourceLinked="1"/>
        <c:majorTickMark val="out"/>
        <c:minorTickMark val="none"/>
        <c:tickLblPos val="none"/>
        <c:crossAx val="73373184"/>
        <c:crosses val="autoZero"/>
        <c:crossBetween val="between"/>
      </c:valAx>
      <c:spPr bwMode="auto">
        <a:prstGeom prst="rect">
          <a:avLst/>
        </a:prstGeom>
        <a:noFill/>
        <a:ln w="25400">
          <a:noFill/>
        </a:ln>
      </c:spPr>
    </c:plotArea>
    <c:legend>
      <c:legendPos val="t"/>
      <c:legendEntry>
        <c:idx val="3"/>
        <c:delete val="1"/>
      </c:legendEntry>
      <c:layout/>
      <c:overlay val="0"/>
      <c:txPr>
        <a:bodyPr/>
        <a:lstStyle/>
        <a:p>
          <a:pPr>
            <a:defRPr/>
          </a:pPr>
          <a:endParaRPr lang="ru-RU"/>
        </a:p>
      </c:txPr>
    </c:legend>
    <c:plotVisOnly val="1"/>
    <c:dispBlanksAs val="gap"/>
    <c:showDLblsOverMax val="0"/>
  </c:chart>
  <c:spPr bwMode="auto">
    <a:xfrm>
      <a:off x="0" y="0"/>
      <a:ext cx="6286498" cy="3133723"/>
    </a:xfrm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4="http://schemas.microsoft.com/office/drawing/2007/8/2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Виды</a:t>
            </a:r>
            <a:r>
              <a:rPr lang="ru-RU" sz="1200"/>
              <a:t> поступивших обращений во втором квартале 2023 года в сравнении с первом кварталом 2023 года и </a:t>
            </a:r>
            <a:endParaRPr lang="ru-RU" sz="1200"/>
          </a:p>
          <a:p>
            <a:pPr>
              <a:defRPr/>
            </a:pPr>
            <a:r>
              <a:rPr lang="ru-RU" sz="1200"/>
              <a:t> вторым кварталом 2022 года</a:t>
            </a:r>
            <a:r>
              <a:rPr lang="ru-RU"/>
              <a:t> </a:t>
            </a:r>
            <a:endParaRPr lang="ru-RU"/>
          </a:p>
        </c:rich>
      </c:tx>
      <c:layout>
        <c:manualLayout>
          <c:xMode val="edge"/>
          <c:yMode val="edge"/>
          <c:x val="0.124"/>
          <c:y val="0.022030000000000001"/>
        </c:manualLayout>
      </c:layout>
      <c:overlay val="0"/>
      <c:spPr bwMode="auto">
        <a:prstGeom prst="rect">
          <a:avLst/>
        </a:prstGeom>
        <a:noFill/>
        <a:ln>
          <a:noFill/>
        </a:ln>
      </c:spPr>
      <c:txPr>
        <a:bodyPr/>
        <a:p>
          <a:pPr>
            <a:defRPr sz="1800" b="0" cap="all">
              <a:solidFill>
                <a:schemeClr val="lt1"/>
              </a:solidFill>
              <a:latin typeface="+mn-lt"/>
              <a:ea typeface="+mn-ea"/>
              <a:cs typeface="+mn-cs"/>
            </a:defRPr>
          </a:pPr>
          <a:endParaRPr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 bwMode="auto">
        <a:prstGeom prst="rect">
          <a:avLst/>
        </a:prstGeom>
        <a:noFill/>
        <a:ln>
          <a:noFill/>
        </a:ln>
      </c:spPr>
    </c:floor>
    <c:sideWall>
      <c:thickness val="0"/>
      <c:spPr bwMode="auto">
        <a:prstGeom prst="rect">
          <a:avLst/>
        </a:prstGeom>
        <a:noFill/>
        <a:ln>
          <a:noFill/>
        </a:ln>
      </c:spPr>
    </c:sideWall>
    <c:backWall>
      <c:thickness val="0"/>
      <c:spPr bwMode="auto">
        <a:prstGeom prst="rect">
          <a:avLst/>
        </a:prstGeom>
        <a:noFill/>
        <a:ln>
          <a:noFill/>
        </a:ln>
      </c:spPr>
    </c:backWall>
    <c:plotArea>
      <c:layout>
        <c:manualLayout>
          <c:layoutTarget val="inner"/>
          <c:xMode val="edge"/>
          <c:yMode val="edge"/>
          <c:x val="0.25616"/>
          <c:y val="0.1958"/>
          <c:w val="0.72994000000000003"/>
          <c:h val="0.53822000000000003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 xml:space="preserve">2 квартал 2023 год</c:v>
                </c:pt>
              </c:strCache>
            </c:strRef>
          </c:tx>
          <c:spPr bwMode="auto">
            <a:prstGeom prst="rect">
              <a:avLst/>
            </a:prstGeom>
            <a:solidFill>
              <a:schemeClr val="accent1">
                <a:alpha val="88000"/>
              </a:schemeClr>
            </a:solidFill>
            <a:ln>
              <a:solidFill>
                <a:schemeClr val="accent1">
                  <a:lumMod val="50000"/>
                </a:schemeClr>
              </a:solidFill>
            </a:ln>
          </c:spPr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solidFill>
                <a:schemeClr val="accent1">
                  <a:alpha val="30000"/>
                </a:schemeClr>
              </a:solidFill>
              <a:ln>
                <a:solidFill>
                  <a:schemeClr val="lt1">
                    <a:alpha val="50000"/>
                  </a:schemeClr>
                </a:solidFill>
                <a:round/>
              </a:ln>
            </c:spPr>
            <c:txPr>
              <a:bodyPr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/>
              </a:p>
            </c:txPr>
          </c:dLbls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 xml:space="preserve">электронная почта</c:v>
                </c:pt>
                <c:pt idx="3">
                  <c:v xml:space="preserve">личный прием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414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 xml:space="preserve">1 квартал 2023 год</c:v>
                </c:pt>
              </c:strCache>
            </c:strRef>
          </c:tx>
          <c:spPr bwMode="auto">
            <a:prstGeom prst="rect">
              <a:avLst/>
            </a:prstGeom>
            <a:solidFill>
              <a:schemeClr val="accent2">
                <a:alpha val="88000"/>
              </a:schemeClr>
            </a:solidFill>
            <a:ln>
              <a:solidFill>
                <a:schemeClr val="accent2">
                  <a:lumMod val="50000"/>
                </a:schemeClr>
              </a:solidFill>
            </a:ln>
          </c:spPr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solidFill>
                <a:schemeClr val="accent2">
                  <a:alpha val="30000"/>
                </a:schemeClr>
              </a:solidFill>
              <a:ln>
                <a:solidFill>
                  <a:schemeClr val="lt1">
                    <a:alpha val="50000"/>
                  </a:schemeClr>
                </a:solidFill>
                <a:round/>
              </a:ln>
            </c:spPr>
            <c:txPr>
              <a:bodyPr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/>
              </a:p>
            </c:txPr>
          </c:dLbls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 xml:space="preserve">электронная почта</c:v>
                </c:pt>
                <c:pt idx="3">
                  <c:v xml:space="preserve">личный прием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341</c:v>
                </c:pt>
                <c:pt idx="1">
                  <c:v>2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 xml:space="preserve">2 квартал 2022 года</c:v>
                </c:pt>
              </c:strCache>
            </c:strRef>
          </c:tx>
          <c:spPr bwMode="auto">
            <a:prstGeom prst="rect">
              <a:avLst/>
            </a:prstGeom>
            <a:solidFill>
              <a:schemeClr val="accent3">
                <a:alpha val="88000"/>
              </a:schemeClr>
            </a:solidFill>
            <a:ln>
              <a:solidFill>
                <a:schemeClr val="accent3">
                  <a:lumMod val="50000"/>
                </a:schemeClr>
              </a:solidFill>
            </a:ln>
          </c:spPr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solidFill>
                <a:schemeClr val="accent3">
                  <a:alpha val="30000"/>
                </a:schemeClr>
              </a:solidFill>
              <a:ln>
                <a:solidFill>
                  <a:schemeClr val="lt1">
                    <a:alpha val="50000"/>
                  </a:schemeClr>
                </a:solidFill>
                <a:round/>
              </a:ln>
            </c:spPr>
            <c:txPr>
              <a:bodyPr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/>
              </a:p>
            </c:txPr>
          </c:dLbls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 xml:space="preserve">электронная почта</c:v>
                </c:pt>
                <c:pt idx="3">
                  <c:v xml:space="preserve">личный прием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289</c:v>
                </c:pt>
                <c:pt idx="1">
                  <c:v>0</c:v>
                </c:pt>
                <c:pt idx="2">
                  <c:v>5</c:v>
                </c:pt>
                <c:pt idx="3">
                  <c:v>10</c:v>
                </c:pt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1"/>
          <c:spPr bwMode="auto">
            <a:prstGeom prst="rect">
              <a:avLst/>
            </a:prstGeom>
            <a:solidFill>
              <a:schemeClr val="accent1">
                <a:alpha val="30000"/>
              </a:schemeClr>
            </a:solidFill>
            <a:ln>
              <a:solidFill>
                <a:schemeClr val="lt1">
                  <a:alpha val="50000"/>
                </a:schemeClr>
              </a:solidFill>
              <a:round/>
            </a:ln>
          </c:spPr>
          <c:txPr>
            <a:bodyPr/>
            <a:p>
              <a:pPr>
                <a:defRPr sz="900" b="1" i="0" u="none" strike="noStrike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pPr>
              <a:endParaRPr/>
            </a:p>
          </c:txPr>
        </c:dLbls>
        <c:gapWidth val="84"/>
        <c:gapDepth val="53"/>
        <c:shape val="cone"/>
        <c:axId val="86335891"/>
        <c:axId val="86335892"/>
      </c:bar3DChart>
      <c:catAx>
        <c:axId val="86335891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 bwMode="auto">
          <a:prstGeom prst="rect">
            <a:avLst/>
          </a:prstGeom>
          <a:noFill/>
          <a:ln>
            <a:noFill/>
          </a:ln>
        </c:spPr>
        <c:txPr>
          <a:bodyPr/>
          <a:p>
            <a:pPr>
              <a:defRPr sz="900">
                <a:solidFill>
                  <a:schemeClr val="lt1">
                    <a:lumMod val="75000"/>
                  </a:schemeClr>
                </a:solidFill>
                <a:latin typeface="Calibri"/>
                <a:ea typeface="Arial"/>
                <a:cs typeface="Arial"/>
              </a:defRPr>
            </a:pPr>
            <a:endParaRPr/>
          </a:p>
        </c:txPr>
        <c:crossAx val="86335892"/>
        <c:crosses val="autoZero"/>
        <c:auto val="1"/>
        <c:lblAlgn val="ctr"/>
        <c:lblOffset val="100"/>
        <c:noMultiLvlLbl val="0"/>
      </c:catAx>
      <c:valAx>
        <c:axId val="86335892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>
            <a:noFill/>
          </a:ln>
        </c:spPr>
        <c:txPr>
          <a:bodyPr/>
          <a:p>
            <a:pPr>
              <a:defRPr sz="900">
                <a:solidFill>
                  <a:schemeClr val="lt1">
                    <a:lumMod val="75000"/>
                  </a:schemeClr>
                </a:solidFill>
                <a:latin typeface="+mn-lt"/>
                <a:ea typeface="+mn-ea"/>
                <a:cs typeface="+mn-cs"/>
              </a:defRPr>
            </a:pPr>
            <a:endParaRPr/>
          </a:p>
        </c:txPr>
        <c:crossAx val="86335891"/>
        <c:crosses val="autoZero"/>
        <c:crossBetween val="between"/>
      </c:valAx>
      <c:dTable>
        <c:showHorzBorder val="1"/>
        <c:showVertBorder val="1"/>
        <c:showOutline val="1"/>
        <c:showKeys val="1"/>
        <c:spPr bwMode="auto">
          <a:prstGeom prst="rect">
            <a:avLst/>
          </a:prstGeom>
          <a:solidFill>
            <a:schemeClr val="dk1">
              <a:lumMod val="75000"/>
              <a:lumOff val="25000"/>
            </a:schemeClr>
          </a:solidFill>
          <a:ln w="6350" cap="flat" cmpd="sng" algn="ctr">
            <a:solidFill>
              <a:schemeClr val="dk1">
                <a:tint val="75000"/>
              </a:schemeClr>
            </a:solidFill>
            <a:round/>
          </a:ln>
        </c:spPr>
        <c:txPr>
          <a:bodyPr/>
          <a:p>
            <a:pPr>
              <a:defRPr sz="10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pPr>
            <a:endParaRPr/>
          </a:p>
        </c:txPr>
      </c:dTable>
      <c:spPr bwMode="auto">
        <a:prstGeom prst="rect">
          <a:avLst/>
        </a:prstGeom>
        <a:noFill/>
        <a:ln>
          <a:noFill/>
        </a:ln>
      </c:spPr>
    </c:plotArea>
    <c:legend>
      <c:legendPos val="t"/>
      <c:layout>
        <c:manualLayout>
          <c:x val="0.0027799999999999999"/>
          <c:y val="0.68640999999999996"/>
        </c:manualLayout>
      </c:layout>
      <c:overlay val="0"/>
      <c:spPr bwMode="auto">
        <a:prstGeom prst="rect">
          <a:avLst/>
        </a:prstGeom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>
              <a:solidFill>
                <a:schemeClr val="lt1">
                  <a:lumMod val="7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 bwMode="auto">
    <a:xfrm>
      <a:off x="0" y="0"/>
      <a:ext cx="6837064" cy="3524612"/>
    </a:xfrm>
    <a:prstGeom prst="rect">
      <a:avLst/>
    </a:prstGeom>
    <a:solidFill>
      <a:schemeClr val="dk1">
        <a:lumMod val="75000"/>
        <a:lumOff val="25000"/>
      </a:schemeClr>
    </a:solidFill>
    <a:ln w="6350" cap="flat" cmpd="sng" algn="ctr">
      <a:solidFill>
        <a:schemeClr val="dk1">
          <a:tint val="75000"/>
        </a:schemeClr>
      </a:solidFill>
      <a:round/>
    </a:ln>
  </c:spPr>
  <c:txPr>
    <a:bodyPr/>
    <a:p>
      <a:pPr>
        <a:defRPr sz="1000">
          <a:solidFill>
            <a:schemeClr val="lt1"/>
          </a:solidFill>
          <a:latin typeface="+mn-lt"/>
          <a:ea typeface="+mn-ea"/>
          <a:cs typeface="+mn-cs"/>
        </a:defRPr>
      </a:pPr>
      <a:endParaRPr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4="http://schemas.microsoft.com/office/drawing/2007/8/2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/>
            </a:pPr>
            <a:r>
              <a:rPr lang="ru-RU" sz="1400"/>
              <a:t>Виды</a:t>
            </a:r>
            <a:r>
              <a:rPr lang="ru-RU" sz="1400"/>
              <a:t> обращений поступивших в адрес Минтранса НСО в втором квартале 2023 года в сравнении с первым кварталом 2023 года и со вторым кварталом 2022 года</a:t>
            </a:r>
            <a:endParaRPr lang="ru-RU" sz="1200"/>
          </a:p>
        </c:rich>
      </c:tx>
      <c:layout>
        <c:manualLayout>
          <c:xMode val="edge"/>
          <c:yMode val="edge"/>
          <c:x val="0.14036999999999999"/>
          <c:y val="0.04379000000000000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'Лист1'!$B$1</c:f>
              <c:strCache>
                <c:ptCount val="1"/>
                <c:pt idx="0">
                  <c:v xml:space="preserve">2 квартал 2023 год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'Лист1'!$A$2:$A$6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'Лист1'!$B$2:$B$6</c:f>
              <c:numCache>
                <c:formatCode>General</c:formatCode>
                <c:ptCount val="5"/>
                <c:pt idx="0">
                  <c:v>58</c:v>
                </c:pt>
                <c:pt idx="1">
                  <c:v>269</c:v>
                </c:pt>
                <c:pt idx="2">
                  <c:v>0</c:v>
                </c:pt>
                <c:pt idx="3">
                  <c:v>18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'Лист1'!$C$1</c:f>
              <c:strCache>
                <c:ptCount val="1"/>
                <c:pt idx="0">
                  <c:v xml:space="preserve">1 квартал 2023 год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'Лист1'!$A$2:$A$6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'Лист1'!$C$2:$C$6</c:f>
              <c:numCache>
                <c:formatCode>General</c:formatCode>
                <c:ptCount val="5"/>
                <c:pt idx="0">
                  <c:v>88</c:v>
                </c:pt>
                <c:pt idx="1">
                  <c:v>242</c:v>
                </c:pt>
                <c:pt idx="2">
                  <c:v>0</c:v>
                </c:pt>
                <c:pt idx="3">
                  <c:v>13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'Лист1'!$D$1</c:f>
              <c:strCache>
                <c:ptCount val="1"/>
                <c:pt idx="0">
                  <c:v xml:space="preserve">2 квартал 2022 год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'Лист1'!$A$2:$A$6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'Лист1'!$D$2:$D$6</c:f>
              <c:numCache>
                <c:formatCode>General</c:formatCode>
                <c:ptCount val="5"/>
                <c:pt idx="0">
                  <c:v>33</c:v>
                </c:pt>
                <c:pt idx="1">
                  <c:v>190</c:v>
                </c:pt>
                <c:pt idx="2">
                  <c:v>0</c:v>
                </c:pt>
                <c:pt idx="3">
                  <c:v>17</c:v>
                </c:pt>
                <c:pt idx="4">
                  <c:v>15</c:v>
                </c:pt>
              </c:numCache>
            </c:numRef>
          </c:val>
        </c:ser>
        <c:ser>
          <c:idx val="3"/>
          <c:order val="3"/>
          <c:tx>
            <c:strRef>
              <c:f>'Лист1'!$E$1</c:f>
              <c:strCache>
                <c:ptCount val="1"/>
                <c:pt idx="0">
                  <c:v xml:space="preserve">1 квартал 2022 год2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'Лист1'!$A$2:$A$6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'Лист1'!$E$2:$E$6</c:f>
              <c:numCache>
                <c:formatCode>General</c:formatCode>
                <c:ptCount val="5"/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1"/>
        </c:dLbls>
        <c:gapWidth val="150"/>
        <c:shape val="cylinder"/>
        <c:axId val="86313600"/>
        <c:axId val="86335872"/>
      </c:bar3DChart>
      <c:catAx>
        <c:axId val="863136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86335872"/>
        <c:crosses val="autoZero"/>
        <c:auto val="1"/>
        <c:lblAlgn val="ctr"/>
        <c:lblOffset val="100"/>
        <c:noMultiLvlLbl val="0"/>
      </c:catAx>
      <c:valAx>
        <c:axId val="86335872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one"/>
        <c:crossAx val="86313600"/>
        <c:crosses val="autoZero"/>
        <c:crossBetween val="between"/>
      </c:valAx>
    </c:plotArea>
    <c:legend>
      <c:legendPos val="t"/>
      <c:legendEntry>
        <c:idx val="3"/>
        <c:delete val="1"/>
      </c:legendEntry>
      <c:layout/>
      <c:overlay val="0"/>
    </c:legend>
    <c:plotVisOnly val="1"/>
    <c:dispBlanksAs val="gap"/>
    <c:showDLblsOverMax val="0"/>
  </c:chart>
  <c:spPr bwMode="auto">
    <a:xfrm>
      <a:off x="0" y="0"/>
      <a:ext cx="6857998" cy="3924298"/>
    </a:xfrm>
  </c:sp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91">
  <cs:axisTitle>
    <cs:lnRef idx="0"/>
    <cs:fillRef idx="0"/>
    <cs:effectRef idx="0"/>
    <cs:fontRef idx="minor">
      <a:schemeClr val="lt1">
        <a:lumMod val="75000"/>
      </a:schemeClr>
    </cs:fontRef>
    <cs:defRPr sz="900"/>
  </cs:axisTitle>
  <cs:categoryAxis>
    <cs:lnRef idx="0"/>
    <cs:fillRef idx="0"/>
    <cs:effectRef idx="0"/>
    <cs:fontRef idx="minor">
      <a:schemeClr val="lt1">
        <a:lumMod val="75000"/>
      </a:schemeClr>
    </cs:fontRef>
    <cs:defRPr sz="900"/>
  </cs:categoryAxis>
  <cs:chartArea>
    <cs:lnRef idx="0"/>
    <cs:fillRef idx="0"/>
    <cs:effectRef idx="0"/>
    <cs:fontRef idx="minor">
      <a:schemeClr val="lt1"/>
    </cs:fontRef>
    <cs:spPr bwMode="auto">
      <a:prstGeom prst="rect">
        <a:avLst/>
      </a:prstGeom>
      <a:solidFill>
        <a:schemeClr val="dk1">
          <a:lumMod val="75000"/>
          <a:lumOff val="25000"/>
        </a:schemeClr>
      </a:solidFill>
      <a:ln w="6350" cap="flat" cmpd="sng" algn="ctr">
        <a:solidFill>
          <a:schemeClr val="dk1">
            <a:tint val="75000"/>
          </a:schemeClr>
        </a:solidFill>
        <a:round/>
      </a:ln>
    </cs:spPr>
    <cs:defRPr sz="1000"/>
  </cs:chartArea>
  <cs:dataLabel>
    <cs:lnRef idx="0"/>
    <cs:fillRef idx="0">
      <cs:styleClr val="auto"/>
    </cs:fillRef>
    <cs:effectRef idx="0"/>
    <cs:fontRef idx="minor">
      <a:schemeClr val="lt1"/>
    </cs:fontRef>
    <cs:spPr bwMode="auto">
      <a:prstGeom prst="rect">
        <a:avLst/>
      </a:prstGeom>
      <a:solidFill>
        <a:schemeClr val="phClr">
          <a:alpha val="30000"/>
        </a:schemeClr>
      </a:solidFill>
      <a:ln>
        <a:solidFill>
          <a:schemeClr val="lt1">
            <a:alpha val="50000"/>
          </a:schemeClr>
        </a:solidFill>
        <a:round/>
      </a:ln>
      <a:effectLst>
        <a:outerShdw blurRad="63500" dist="88900" dir="2700000" rotWithShape="0">
          <a:prstClr val="black">
            <a:alpha val="40000"/>
          </a:prstClr>
        </a:outerShdw>
      </a:effectLst>
    </cs:spPr>
    <cs:defRPr sz="900" b="1" i="0" u="none" strike="noStrike"/>
  </cs:dataLabel>
  <cs:dataPoint>
    <cs:lnRef idx="0">
      <cs:styleClr val="auto"/>
    </cs:lnRef>
    <cs:fillRef idx="0">
      <cs:styleClr val="auto"/>
    </cs:fillRef>
    <cs:effectRef idx="0"/>
    <cs:fontRef idx="minor">
      <a:schemeClr val="tx1"/>
    </cs:fontRef>
    <cs:spPr bwMode="auto">
      <a:prstGeom prst="rect">
        <a:avLst/>
      </a:prstGeom>
      <a:solidFill>
        <a:schemeClr val="phClr">
          <a:alpha val="88000"/>
        </a:schemeClr>
      </a:solidFill>
      <a:ln>
        <a:solidFill>
          <a:schemeClr val="phClr">
            <a:lumMod val="50000"/>
          </a:schemeClr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tx1"/>
    </cs:fontRef>
    <cs:spPr bwMode="auto">
      <a:prstGeom prst="rect">
        <a:avLst/>
      </a:prstGeom>
      <a:solidFill>
        <a:schemeClr val="phClr">
          <a:alpha val="88000"/>
        </a:schemeClr>
      </a:solidFill>
      <a:ln>
        <a:solidFill>
          <a:schemeClr val="phClr">
            <a:lumMod val="50000"/>
          </a:schemeClr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 bwMode="auto">
      <a:prstGeom prst="rect">
        <a:avLst/>
      </a:prstGeom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tx1"/>
    </cs:fontRef>
    <cs:spPr bwMode="auto">
      <a:prstGeom prst="rect">
        <a:avLst/>
      </a:prstGeom>
      <a:solidFill>
        <a:schemeClr val="phClr"/>
      </a:solidFill>
      <a:ln w="9525">
        <a:solidFill>
          <a:schemeClr val="dk1">
            <a:lumMod val="75000"/>
            <a:lumOff val="25000"/>
          </a:schemeClr>
        </a:solidFill>
      </a:ln>
    </cs:spPr>
  </cs:dataPointMarker>
  <cs:dataPointWireframe>
    <cs:lnRef idx="0">
      <cs:styleClr val="auto"/>
    </cs:lnRef>
    <cs:fillRef idx="0"/>
    <cs:effectRef idx="0"/>
    <cs:fontRef idx="minor">
      <a:schemeClr val="tx1"/>
    </cs:fontRef>
    <cs:spPr bwMode="auto">
      <a:prstGeom prst="rect">
        <a:avLst/>
      </a:prstGeom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lt1">
        <a:lumMod val="75000"/>
      </a:schemeClr>
    </cs:fontRef>
    <cs:spPr bwMode="auto">
      <a:prstGeom prst="rect">
        <a:avLst/>
      </a:prstGeom>
      <a:ln w="9525">
        <a:solidFill>
          <a:schemeClr val="dk1">
            <a:lumMod val="50000"/>
            <a:lumOff val="50000"/>
          </a:schemeClr>
        </a:solidFill>
      </a:ln>
    </cs:spPr>
    <cs:defRPr sz="900"/>
  </cs:dataTable>
  <cs:downBar>
    <cs:lnRef idx="0"/>
    <cs:fillRef idx="0"/>
    <cs:effectRef idx="0"/>
    <cs:fontRef idx="minor">
      <a:schemeClr val="lt1"/>
    </cs:fontRef>
    <cs:spPr bwMode="auto">
      <a:prstGeom prst="rect">
        <a:avLst/>
      </a:prstGeom>
      <a:solidFill>
        <a:schemeClr val="dk1">
          <a:lumMod val="50000"/>
          <a:lumOff val="50000"/>
        </a:schemeClr>
      </a:solidFill>
      <a:ln w="9525">
        <a:solidFill>
          <a:schemeClr val="dk1">
            <a:lumMod val="75000"/>
          </a:schemeClr>
        </a:solidFill>
        <a:round/>
      </a:ln>
    </cs:spPr>
  </cs:downBar>
  <cs:dropLine>
    <cs:lnRef idx="0"/>
    <cs:fillRef idx="0"/>
    <cs:effectRef idx="0"/>
    <cs:fontRef idx="minor">
      <a:schemeClr val="dk1"/>
    </cs:fontRef>
    <cs:spPr bwMode="auto">
      <a:prstGeom prst="rect">
        <a:avLst/>
      </a:prstGeom>
      <a:ln w="9525">
        <a:solidFill>
          <a:schemeClr val="lt1">
            <a:lumMod val="50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 bwMode="auto">
      <a:prstGeom prst="rect">
        <a:avLst/>
      </a:prstGeom>
      <a:ln w="9525">
        <a:solidFill>
          <a:schemeClr val="lt1">
            <a:lumMod val="50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 bwMode="auto">
      <a:prstGeom prst="rect">
        <a:avLst/>
      </a:prstGeom>
      <a:solidFill>
        <a:schemeClr val="bg2">
          <a:lumMod val="75000"/>
          <a:alpha val="26998"/>
        </a:schemeClr>
      </a:solidFill>
    </cs:spPr>
  </cs:floor>
  <cs:gridlineMajor>
    <cs:lnRef idx="0"/>
    <cs:fillRef idx="0"/>
    <cs:effectRef idx="0"/>
    <cs:fontRef idx="minor">
      <a:schemeClr val="tx1"/>
    </cs:fontRef>
    <cs:spPr bwMode="auto">
      <a:prstGeom prst="rect">
        <a:avLst/>
      </a:prstGeom>
      <a:ln w="9525">
        <a:solidFill>
          <a:schemeClr val="lt1">
            <a:lumMod val="50000"/>
          </a:schemeClr>
        </a:solidFill>
      </a:ln>
    </cs:spPr>
  </cs:gridlineMajor>
  <cs:gridlineMinor>
    <cs:lnRef idx="0"/>
    <cs:fillRef idx="0"/>
    <cs:effectRef idx="0"/>
    <cs:fontRef idx="minor">
      <a:schemeClr val="tx1"/>
    </cs:fontRef>
    <cs:spPr bwMode="auto">
      <a:prstGeom prst="rect">
        <a:avLst/>
      </a:prstGeom>
      <a:ln w="9525">
        <a:solidFill>
          <a:schemeClr val="lt1">
            <a:lumMod val="40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 bwMode="auto">
      <a:prstGeom prst="rect">
        <a:avLst/>
      </a:prstGeom>
      <a:ln w="9525">
        <a:solidFill>
          <a:schemeClr val="lt1">
            <a:lumMod val="50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 bwMode="auto">
      <a:prstGeom prst="rect">
        <a:avLst/>
      </a:prstGeom>
      <a:ln w="9525">
        <a:solidFill>
          <a:schemeClr val="lt1">
            <a:lumMod val="50000"/>
          </a:schemeClr>
        </a:solidFill>
        <a:round/>
      </a:ln>
    </cs:spPr>
  </cs:leaderLine>
  <cs:legend>
    <cs:lnRef idx="0"/>
    <cs:fillRef idx="0"/>
    <cs:effectRef idx="0"/>
    <cs:fontRef idx="minor">
      <a:schemeClr val="lt1">
        <a:lumMod val="75000"/>
      </a:schemeClr>
    </cs:fontRef>
    <cs:defRPr sz="900"/>
  </cs:legend>
  <cs:plotArea>
    <cs:lnRef idx="0"/>
    <cs:fillRef idx="0"/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lt1">
        <a:lumMod val="75000"/>
      </a:schemeClr>
    </cs:fontRef>
    <cs:defRPr sz="900"/>
  </cs:seriesAxis>
  <cs:seriesLine>
    <cs:lnRef idx="0"/>
    <cs:fillRef idx="0"/>
    <cs:effectRef idx="0"/>
    <cs:fontRef idx="minor">
      <a:schemeClr val="dk1"/>
    </cs:fontRef>
    <cs:spPr bwMode="auto">
      <a:prstGeom prst="rect">
        <a:avLst/>
      </a:prstGeom>
      <a:ln w="9525">
        <a:solidFill>
          <a:schemeClr val="lt1">
            <a:lumMod val="50000"/>
          </a:schemeClr>
        </a:solidFill>
        <a:round/>
      </a:ln>
    </cs:spPr>
  </cs:seriesLine>
  <cs:title>
    <cs:lnRef idx="0"/>
    <cs:fillRef idx="0"/>
    <cs:effectRef idx="0"/>
    <cs:fontRef idx="minor">
      <a:schemeClr val="lt1"/>
    </cs:fontRef>
    <cs:defRPr sz="1800" b="0" cap="all"/>
  </cs:title>
  <cs:trendline>
    <cs:lnRef idx="0">
      <cs:styleClr val="auto"/>
    </cs:lnRef>
    <cs:fillRef idx="0"/>
    <cs:effectRef idx="0"/>
    <cs:fontRef idx="minor">
      <a:schemeClr val="dk1"/>
    </cs:fontRef>
    <cs:spPr bwMode="auto">
      <a:prstGeom prst="rect">
        <a:avLst/>
      </a:prstGeom>
      <a:ln w="9525" cap="rnd">
        <a:solidFill>
          <a:schemeClr val="phClr">
            <a:alpha val="50000"/>
          </a:schemeClr>
        </a:solidFill>
      </a:ln>
    </cs:spPr>
  </cs:trendline>
  <cs:trendlineLabel>
    <cs:lnRef idx="0"/>
    <cs:fillRef idx="0"/>
    <cs:effectRef idx="0"/>
    <cs:fontRef idx="minor">
      <a:schemeClr val="lt1">
        <a:lumMod val="75000"/>
      </a:schemeClr>
    </cs:fontRef>
    <cs:defRPr sz="900"/>
  </cs:trendlineLabel>
  <cs:upBar>
    <cs:lnRef idx="0"/>
    <cs:fillRef idx="0"/>
    <cs:effectRef idx="0"/>
    <cs:fontRef idx="minor">
      <a:schemeClr val="dk1"/>
    </cs:fontRef>
    <cs:spPr bwMode="auto">
      <a:prstGeom prst="rect">
        <a:avLst/>
      </a:prstGeom>
      <a:solidFill>
        <a:schemeClr val="lt1">
          <a:lumMod val="85000"/>
        </a:schemeClr>
      </a:solidFill>
      <a:ln w="9525">
        <a:solidFill>
          <a:schemeClr val="dk1">
            <a:lumMod val="50000"/>
          </a:schemeClr>
        </a:solidFill>
        <a:round/>
      </a:ln>
    </cs:spPr>
  </cs:upBar>
  <cs:valueAxis>
    <cs:lnRef idx="0"/>
    <cs:fillRef idx="0"/>
    <cs:effectRef idx="0"/>
    <cs:fontRef idx="minor">
      <a:schemeClr val="lt1">
        <a:lumMod val="75000"/>
      </a:schemeClr>
    </cs:fontRef>
    <cs:defRPr sz="900"/>
  </cs:valueAxis>
  <cs:wall>
    <cs:lnRef idx="0"/>
    <cs:fillRef idx="0"/>
    <cs:effectRef idx="0"/>
    <cs:fontRef idx="minor">
      <a:schemeClr val="tx1"/>
    </cs:fontRef>
    <cs:spPr bwMode="auto"/>
  </cs:wall>
  <cs:dataPointMarkerLayout symbol="circle" size="6"/>
</cs:chartStyle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138079-9E99-4A01-AF18-3AC5EF380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Тимофеева Ольга Евгеньевна</dc:creator>
  <cp:keywords/>
  <dc:description/>
  <cp:revision>37</cp:revision>
  <dcterms:created xsi:type="dcterms:W3CDTF">2022-10-04T03:14:00Z</dcterms:created>
  <dcterms:modified xsi:type="dcterms:W3CDTF">2023-07-04T03:05:24Z</dcterms:modified>
</cp:coreProperties>
</file>