
<file path=[Content_Types].xml><?xml version="1.0" encoding="utf-8"?>
<Types xmlns="http://schemas.openxmlformats.org/package/2006/content-types">
  <Default Extension="xlsx" ContentType="application/vnd.openxmlformats-officedocument.spreadsheetml.sheet"/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app.xml" ContentType="application/vnd.openxmlformats-officedocument.extended-properties+xml"/>
  <Override PartName="/word/charts/chart3.xml" ContentType="application/vnd.openxmlformats-officedocument.drawingml.chart+xml"/>
  <Override PartName="/docProps/core.xml" ContentType="application/vnd.openxmlformats-package.core-properties+xml"/>
  <Override PartName="/word/charts/style1.xml" ContentType="application/vnd.ms-office.chartstyle+xml"/>
  <Override PartName="/word/charts/chart4.xml" ContentType="application/vnd.openxmlformats-officedocument.drawingml.chart+xml"/>
  <Override PartName="/word/charts/chart2.xml" ContentType="application/vnd.openxmlformats-officedocument.drawingml.chart+xml"/>
  <Override PartName="/word/charts/chart1.xml" ContentType="application/vnd.openxmlformats-officedocument.drawingml.chart+xml"/>
  <Override PartName="/word/charts/colors1.xml" ContentType="application/vnd.ms-office.chartcolorstyle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right="-286"/>
        <w:shd w:val="clear" w:color="auto" w:fill="ffffff"/>
        <w:tabs>
          <w:tab w:val="left" w:pos="0" w:leader="none"/>
        </w:tabs>
        <w:rPr>
          <w:rFonts w:ascii="Times New Roman" w:hAnsi="Times New Roman" w:eastAsia="Times New Roman"/>
          <w:b/>
          <w:sz w:val="28"/>
          <w:szCs w:val="28"/>
          <w:lang w:eastAsia="ru-RU"/>
        </w:rPr>
        <w:outlineLvl w:val="0"/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Информационно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-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статистический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обзор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обращений,</w:t>
      </w:r>
      <w:r/>
    </w:p>
    <w:p>
      <w:pPr>
        <w:jc w:val="center"/>
        <w:shd w:val="clear" w:color="auto" w:fill="ffffff"/>
        <w:rPr>
          <w:rFonts w:ascii="Times New Roman" w:hAnsi="Times New Roman" w:eastAsia="Times New Roman"/>
          <w:b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рассмотренных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в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3-ом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квартале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202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3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года,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запросов информации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br/>
        <w:t xml:space="preserve">и обращений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нистерства транспорта и дорожного хозяйства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Новосибирской области, а также результатов рассмотрения обращений и принятых мер</w:t>
      </w:r>
      <w:r/>
    </w:p>
    <w:p>
      <w:pPr>
        <w:jc w:val="both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  <w:r/>
    </w:p>
    <w:p>
      <w:pPr>
        <w:jc w:val="both"/>
        <w:spacing w:line="276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Рассмотрение письменных и ли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чных обращений, устных обращений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ми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нистерства транспорта и дорожного хозяйства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Новосибирской области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и ми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нистерства транспорта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(далее – министерство)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</w:t>
      </w:r>
      <w:r/>
    </w:p>
    <w:p>
      <w:pPr>
        <w:ind w:firstLine="709"/>
        <w:jc w:val="both"/>
        <w:spacing w:line="276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приемную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Минтранса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а также в форме электронного документа на официальный сайт министерства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либо на электронную почту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транспорта и дорожного хозяйства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Новосибирской области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либо лицом его замещающим.</w:t>
      </w:r>
      <w:r/>
    </w:p>
    <w:p>
      <w:pPr>
        <w:ind w:firstLine="720"/>
        <w:jc w:val="both"/>
        <w:spacing w:line="276" w:lineRule="auto"/>
        <w:rPr>
          <w:rStyle w:val="819"/>
          <w:rFonts w:ascii="Times New Roman" w:hAnsi="Times New Roman"/>
          <w:b w:val="0"/>
          <w:bCs/>
          <w:color w:val="ff0000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 период с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0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1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.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07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.202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3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по 30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.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09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.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202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ми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нистерство транспорта и дорожного хозяйства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осибирской области поступило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680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(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 втором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202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-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444,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третьем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квартале 2022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- 373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индивидуальн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ых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и коллективных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обращений, включая обращения объединений граждан, в том числе юридических лиц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Количество поступивших обращений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в данном квартале увеличилось, в сравнении со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вторым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кварталом на 53 % (на 236 обращений), с третьим кварталом прошлого года на 82 % (на 307 обращений).</w:t>
      </w:r>
      <w:r/>
    </w:p>
    <w:p>
      <w:pPr>
        <w:jc w:val="both"/>
        <w:spacing w:line="276" w:lineRule="auto"/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/>
          <w:b w:val="0"/>
          <w:bCs/>
          <w:color w:val="000000" w:themeColor="text1"/>
          <w:sz w:val="28"/>
          <w:szCs w:val="28"/>
        </w:rPr>
      </w:r>
      <w:r/>
    </w:p>
    <w:p>
      <w:pPr>
        <w:ind w:firstLine="720"/>
        <w:jc w:val="both"/>
        <w:spacing w:line="276" w:lineRule="auto"/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943634" w:themeColor="accent2" w:themeShade="BF"/>
          <w:sz w:val="28"/>
          <w:szCs w:val="28"/>
          <w:lang w:eastAsia="ru-RU"/>
        </w:rPr>
        <w:drawing>
          <wp:inline distT="0" distB="0" distL="0" distR="0">
            <wp:extent cx="6003230" cy="2401291"/>
            <wp:effectExtent l="4762" t="4762" r="4762" b="4762"/>
            <wp:docPr id="1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  <w:r/>
    </w:p>
    <w:p>
      <w:pPr>
        <w:jc w:val="both"/>
        <w:spacing w:line="276" w:lineRule="auto"/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      </w:t>
      </w:r>
      <w:r/>
    </w:p>
    <w:p>
      <w:pPr>
        <w:jc w:val="both"/>
        <w:spacing w:line="276" w:lineRule="auto"/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/>
          <w:b w:val="0"/>
          <w:bCs/>
          <w:color w:val="000000" w:themeColor="text1"/>
          <w:sz w:val="28"/>
          <w:szCs w:val="28"/>
        </w:rPr>
      </w:r>
      <w:r/>
    </w:p>
    <w:p>
      <w:pPr>
        <w:jc w:val="both"/>
        <w:spacing w:line="276" w:lineRule="auto"/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/>
          <w:b w:val="0"/>
          <w:bCs/>
          <w:color w:val="000000" w:themeColor="text1"/>
          <w:sz w:val="28"/>
          <w:szCs w:val="28"/>
        </w:rPr>
      </w:r>
      <w:r/>
    </w:p>
    <w:p>
      <w:pPr>
        <w:jc w:val="both"/>
        <w:spacing w:line="276" w:lineRule="auto"/>
        <w:rPr>
          <w:rFonts w:ascii="Times New Roman" w:hAnsi="Times New Roman" w:cs="Times New Roman"/>
          <w:bCs/>
          <w:color w:val="ff0000"/>
          <w:sz w:val="28"/>
          <w:szCs w:val="28"/>
        </w:rPr>
        <w:sectPr>
          <w:footnotePr/>
          <w:endnotePr/>
          <w:type w:val="nextPage"/>
          <w:pgSz w:w="11906" w:h="16838" w:orient="portrait"/>
          <w:pgMar w:top="709" w:right="992" w:bottom="284" w:left="567" w:header="709" w:footer="709" w:gutter="0"/>
          <w:cols w:num="1" w:sep="0" w:space="708" w:equalWidth="1"/>
          <w:docGrid w:linePitch="360"/>
        </w:sectPr>
      </w:pPr>
      <w:r>
        <w:rPr>
          <w:rFonts w:ascii="Times New Roman" w:hAnsi="Times New Roman" w:cs="Times New Roman"/>
          <w:bCs/>
          <w:color w:val="ff0000"/>
          <w:sz w:val="28"/>
          <w:szCs w:val="28"/>
        </w:rPr>
      </w:r>
      <w:r/>
    </w:p>
    <w:p>
      <w:pPr>
        <w:jc w:val="both"/>
        <w:spacing w:line="276" w:lineRule="auto"/>
        <w:rPr>
          <w:rFonts w:ascii="Times New Roman" w:hAnsi="Times New Roman" w:cs="Times New Roman"/>
          <w:sz w:val="28"/>
          <w:szCs w:val="28"/>
          <w:lang w:eastAsia="ru-RU"/>
        </w:rPr>
        <w:sectPr>
          <w:footnotePr/>
          <w:endnotePr/>
          <w:type w:val="continuous"/>
          <w:pgSz w:w="11906" w:h="16838" w:orient="portrait"/>
          <w:pgMar w:top="709" w:right="993" w:bottom="284" w:left="851" w:header="708" w:footer="708" w:gutter="0"/>
          <w:cols w:num="3" w:sep="0" w:space="708" w:equalWidth="1"/>
          <w:docGrid w:linePitch="360"/>
        </w:sectPr>
      </w:pPr>
      <w:r>
        <w:rPr>
          <w:rFonts w:ascii="Times New Roman" w:hAnsi="Times New Roman" w:cs="Times New Roman"/>
          <w:sz w:val="28"/>
          <w:szCs w:val="28"/>
          <w:lang w:eastAsia="ru-RU"/>
        </w:rPr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218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обращени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третьем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квартале 202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управлени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асти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(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 втором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2023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-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96,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третьем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квартале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- 100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Статистика показывает,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что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наибольшее количество поступивших обращений из общественной приемной Губернатора составило в третьем квартале 2023 года. В сравнении со вторым кварталом текущего года на 127 % (на 122 обращения), с третьим кварталом 2022 года на 118 % (на 118 обращений). </w:t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462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обращения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епосредственно в министерство,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втором квартале 2023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348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обращени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й, а 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третьем квартале прошлого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273 обращени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Количество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обращений 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третьем квартале 2023 года увеличилось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сравнении со вторым кварталом на 33 % (на 114 обращений), с третьим кварталом прошлого года на 69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% (на 189 обращений).</w:t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6286497" cy="3133722"/>
            <wp:effectExtent l="4762" t="4762" r="4762" b="4762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Из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числа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письмен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ных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обращений в третьем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квартале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поступило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677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обращени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й, 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втором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квартале 2023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поступило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414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исьменных обращений, в третьем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квартале 20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поступило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333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Количество письменных обращений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третьем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2023 года увеличилось в сравнении со вторым кварталом текущего года на 63 % (на 263 обращений), со вторым кварталом прошлого года на 103% (на 344 обращений).</w:t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В третьем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квартале 20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2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3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года было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зарегистрировано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119 заявлений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Во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втором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квартале </w:t>
      </w:r>
      <w:r>
        <w:rPr>
          <w:rStyle w:val="819"/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2023 года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было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58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заявлени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й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,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в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третьем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квартале 202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2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года - 81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заявлени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е.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Количеств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о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заявлений 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в данном квартале увеличи</w:t>
      </w:r>
      <w:r>
        <w:rPr>
          <w:rStyle w:val="819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лось в сравнении со вторым кварталом на 105 % (на 61 заявление), с прошлым годом третьего квартала на 47 % (на 38 заявлений).</w:t>
      </w:r>
      <w:r/>
    </w:p>
    <w:p>
      <w:pPr>
        <w:jc w:val="both"/>
        <w:spacing w:line="276" w:lineRule="auto"/>
        <w:tabs>
          <w:tab w:val="left" w:pos="8760" w:leader="none"/>
        </w:tabs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 xml:space="preserve">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В третьем и во втором квартале 2023 года устных обращений не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поступало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третьем квартале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прошлого года поступило 1 устное обращение. </w:t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третьем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текущего года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личном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прием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 у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минист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 был принято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 гражданин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а,  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втором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2023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также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было принято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 гражданин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третьем квартале прошлого года было принято 2 гражданина.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6837063" cy="3524611"/>
            <wp:effectExtent l="3175" t="3175" r="3175" b="3175"/>
            <wp:docPr id="3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r>
      <w:r/>
    </w:p>
    <w:p>
      <w:pPr>
        <w:jc w:val="both"/>
        <w:spacing w:before="240"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 xml:space="preserve">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третьем и во втором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квартале 2023 года по электронной почте обращений не проступало, а в третьем квартале прошлого года поступило 2 обращения.</w:t>
      </w:r>
      <w:r/>
    </w:p>
    <w:p>
      <w:pPr>
        <w:jc w:val="both"/>
        <w:spacing w:before="240"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c0504d" w:themeColor="accent2"/>
          <w:sz w:val="28"/>
          <w:szCs w:val="28"/>
        </w:rPr>
        <w:t xml:space="preserve">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третьем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квар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тале 202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поступило 299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втором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квар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тале 202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поступило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269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втором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квартале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поступило 176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Данная ст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атистика показывает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что в сравнении с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предыдущим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кварталами количество жалоб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увеличилось. Со вторым кварталом текущего года выросло на 11 % (на 30 жалоб), с третьим кварталом прошлого года - на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70 % (на 123 жалобы).</w:t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c0504d" w:themeColor="accent2"/>
          <w:sz w:val="28"/>
          <w:szCs w:val="28"/>
        </w:rPr>
        <w:t xml:space="preserve">    </w:t>
      </w:r>
      <w:r>
        <w:rPr>
          <w:rFonts w:ascii="Times New Roman" w:hAnsi="Times New Roman" w:cs="Times New Roman"/>
          <w:color w:val="c0504d" w:themeColor="accent2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c0504d" w:themeColor="accent2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третьем</w:t>
      </w:r>
      <w:r/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квартале 202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поступило 44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запроса,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втором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квартале текущего года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- 18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запросов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третьем квартале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прошлого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-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15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третьем квартале 2023 года поступило 1 смс-обращение, во втором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2023 года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смс-сообщений не поступало. 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третьем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ртале прошлого года поступило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смс-сообщени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третьем и во втором квартале 2023 года предложений от граждан не поступало. В третьем квартале прошлого года поступило 1 предложение.</w:t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6857996" cy="3924296"/>
            <wp:effectExtent l="4762" t="4762" r="4762" b="4762"/>
            <wp:docPr id="4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По результатам рассмотрени</w:t>
      </w:r>
      <w:r>
        <w:rPr>
          <w:rFonts w:ascii="Times New Roman" w:hAnsi="Times New Roman" w:cs="Times New Roman"/>
          <w:sz w:val="28"/>
          <w:szCs w:val="28"/>
        </w:rPr>
        <w:t xml:space="preserve">я направлены ответы заявителям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электронном виде,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форме д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аны разъяснения и рекомендации.</w:t>
      </w:r>
      <w:r/>
    </w:p>
    <w:p>
      <w:pPr>
        <w:jc w:val="both"/>
        <w:spacing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Все обращени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Федеральным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законом от 02.05.2006 № 59-ФЗ «О порядке рассмотрения обращений граждан Российской Федерации»,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проведению личного приема граждан в ми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нистерстве транспорта и дорожного хозяйства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министерства от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12.04.2017 № 60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</w:t>
      </w:r>
      <w:r/>
    </w:p>
    <w:p>
      <w:pPr>
        <w:jc w:val="both"/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За</w:t>
      </w:r>
      <w:r>
        <w:rPr>
          <w:rFonts w:ascii="Times New Roman" w:hAnsi="Times New Roman" w:cs="Times New Roman"/>
          <w:sz w:val="28"/>
          <w:szCs w:val="28"/>
        </w:rPr>
        <w:t xml:space="preserve">явителям даны письменные ответы</w:t>
      </w:r>
      <w:r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  <w:r/>
    </w:p>
    <w:p>
      <w:pPr>
        <w:jc w:val="both"/>
        <w:spacing w:line="276" w:lineRule="auto"/>
        <w:rPr>
          <w:rFonts w:ascii="Times New Roman" w:hAnsi="Times New Roman" w:eastAsia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   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Организация работы с обращениями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граждан в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министерстве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позволила в третьем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квартале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202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3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года обеспечить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своевременное,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объективное и всестороннее р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ассмотрение обращений граждан,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.</w:t>
      </w:r>
      <w:r/>
    </w:p>
    <w:sectPr>
      <w:footnotePr/>
      <w:endnotePr/>
      <w:type w:val="continuous"/>
      <w:pgSz w:w="11906" w:h="16838" w:orient="portrait"/>
      <w:pgMar w:top="709" w:right="993" w:bottom="284" w:left="567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</w:font>
  <w:font w:name="Courier New">
    <w:panose1 w:val="02070309020205020404"/>
  </w:font>
  <w:font w:name="Symbol">
    <w:panose1 w:val="05050102010706020507"/>
  </w:font>
  <w:font w:name="Tahoma">
    <w:panose1 w:val="020B0604030504040204"/>
  </w:font>
  <w:font w:name="Times New Roman">
    <w:panose1 w:val="02020603050405020304"/>
  </w:font>
  <w:font w:name="Calibri">
    <w:panose1 w:val="020F050202020403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4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60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6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4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60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6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40">
    <w:name w:val="Heading 1"/>
    <w:basedOn w:val="814"/>
    <w:next w:val="814"/>
    <w:link w:val="641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41">
    <w:name w:val="Heading 1 Char"/>
    <w:basedOn w:val="815"/>
    <w:link w:val="640"/>
    <w:uiPriority w:val="9"/>
    <w:rPr>
      <w:rFonts w:ascii="Arial" w:hAnsi="Arial" w:eastAsia="Arial" w:cs="Arial"/>
      <w:sz w:val="40"/>
      <w:szCs w:val="40"/>
    </w:rPr>
  </w:style>
  <w:style w:type="paragraph" w:styleId="642">
    <w:name w:val="Heading 2"/>
    <w:basedOn w:val="814"/>
    <w:next w:val="814"/>
    <w:link w:val="643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43">
    <w:name w:val="Heading 2 Char"/>
    <w:basedOn w:val="815"/>
    <w:link w:val="642"/>
    <w:uiPriority w:val="9"/>
    <w:rPr>
      <w:rFonts w:ascii="Arial" w:hAnsi="Arial" w:eastAsia="Arial" w:cs="Arial"/>
      <w:sz w:val="34"/>
    </w:rPr>
  </w:style>
  <w:style w:type="paragraph" w:styleId="644">
    <w:name w:val="Heading 3"/>
    <w:basedOn w:val="814"/>
    <w:next w:val="814"/>
    <w:link w:val="645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45">
    <w:name w:val="Heading 3 Char"/>
    <w:basedOn w:val="815"/>
    <w:link w:val="644"/>
    <w:uiPriority w:val="9"/>
    <w:rPr>
      <w:rFonts w:ascii="Arial" w:hAnsi="Arial" w:eastAsia="Arial" w:cs="Arial"/>
      <w:sz w:val="30"/>
      <w:szCs w:val="30"/>
    </w:rPr>
  </w:style>
  <w:style w:type="paragraph" w:styleId="646">
    <w:name w:val="Heading 4"/>
    <w:basedOn w:val="814"/>
    <w:next w:val="814"/>
    <w:link w:val="647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47">
    <w:name w:val="Heading 4 Char"/>
    <w:basedOn w:val="815"/>
    <w:link w:val="646"/>
    <w:uiPriority w:val="9"/>
    <w:rPr>
      <w:rFonts w:ascii="Arial" w:hAnsi="Arial" w:eastAsia="Arial" w:cs="Arial"/>
      <w:b/>
      <w:bCs/>
      <w:sz w:val="26"/>
      <w:szCs w:val="26"/>
    </w:rPr>
  </w:style>
  <w:style w:type="paragraph" w:styleId="648">
    <w:name w:val="Heading 5"/>
    <w:basedOn w:val="814"/>
    <w:next w:val="814"/>
    <w:link w:val="649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49">
    <w:name w:val="Heading 5 Char"/>
    <w:basedOn w:val="815"/>
    <w:link w:val="648"/>
    <w:uiPriority w:val="9"/>
    <w:rPr>
      <w:rFonts w:ascii="Arial" w:hAnsi="Arial" w:eastAsia="Arial" w:cs="Arial"/>
      <w:b/>
      <w:bCs/>
      <w:sz w:val="24"/>
      <w:szCs w:val="24"/>
    </w:rPr>
  </w:style>
  <w:style w:type="paragraph" w:styleId="650">
    <w:name w:val="Heading 6"/>
    <w:basedOn w:val="814"/>
    <w:next w:val="814"/>
    <w:link w:val="651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51">
    <w:name w:val="Heading 6 Char"/>
    <w:basedOn w:val="815"/>
    <w:link w:val="650"/>
    <w:uiPriority w:val="9"/>
    <w:rPr>
      <w:rFonts w:ascii="Arial" w:hAnsi="Arial" w:eastAsia="Arial" w:cs="Arial"/>
      <w:b/>
      <w:bCs/>
      <w:sz w:val="22"/>
      <w:szCs w:val="22"/>
    </w:rPr>
  </w:style>
  <w:style w:type="paragraph" w:styleId="652">
    <w:name w:val="Heading 7"/>
    <w:basedOn w:val="814"/>
    <w:next w:val="814"/>
    <w:link w:val="653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53">
    <w:name w:val="Heading 7 Char"/>
    <w:basedOn w:val="815"/>
    <w:link w:val="652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54">
    <w:name w:val="Heading 8"/>
    <w:basedOn w:val="814"/>
    <w:next w:val="814"/>
    <w:link w:val="655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55">
    <w:name w:val="Heading 8 Char"/>
    <w:basedOn w:val="815"/>
    <w:link w:val="654"/>
    <w:uiPriority w:val="9"/>
    <w:rPr>
      <w:rFonts w:ascii="Arial" w:hAnsi="Arial" w:eastAsia="Arial" w:cs="Arial"/>
      <w:i/>
      <w:iCs/>
      <w:sz w:val="22"/>
      <w:szCs w:val="22"/>
    </w:rPr>
  </w:style>
  <w:style w:type="paragraph" w:styleId="656">
    <w:name w:val="Heading 9"/>
    <w:basedOn w:val="814"/>
    <w:next w:val="814"/>
    <w:link w:val="657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57">
    <w:name w:val="Heading 9 Char"/>
    <w:basedOn w:val="815"/>
    <w:link w:val="656"/>
    <w:uiPriority w:val="9"/>
    <w:rPr>
      <w:rFonts w:ascii="Arial" w:hAnsi="Arial" w:eastAsia="Arial" w:cs="Arial"/>
      <w:i/>
      <w:iCs/>
      <w:sz w:val="21"/>
      <w:szCs w:val="21"/>
    </w:rPr>
  </w:style>
  <w:style w:type="paragraph" w:styleId="658">
    <w:name w:val="No Spacing"/>
    <w:uiPriority w:val="1"/>
    <w:qFormat/>
    <w:pPr>
      <w:spacing w:before="0" w:after="0" w:line="240" w:lineRule="auto"/>
    </w:pPr>
  </w:style>
  <w:style w:type="paragraph" w:styleId="659">
    <w:name w:val="Title"/>
    <w:basedOn w:val="814"/>
    <w:next w:val="814"/>
    <w:link w:val="660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60">
    <w:name w:val="Title Char"/>
    <w:basedOn w:val="815"/>
    <w:link w:val="659"/>
    <w:uiPriority w:val="10"/>
    <w:rPr>
      <w:sz w:val="48"/>
      <w:szCs w:val="48"/>
    </w:rPr>
  </w:style>
  <w:style w:type="paragraph" w:styleId="661">
    <w:name w:val="Subtitle"/>
    <w:basedOn w:val="814"/>
    <w:next w:val="814"/>
    <w:link w:val="662"/>
    <w:uiPriority w:val="11"/>
    <w:qFormat/>
    <w:pPr>
      <w:spacing w:before="200" w:after="200"/>
    </w:pPr>
    <w:rPr>
      <w:sz w:val="24"/>
      <w:szCs w:val="24"/>
    </w:rPr>
  </w:style>
  <w:style w:type="character" w:styleId="662">
    <w:name w:val="Subtitle Char"/>
    <w:basedOn w:val="815"/>
    <w:link w:val="661"/>
    <w:uiPriority w:val="11"/>
    <w:rPr>
      <w:sz w:val="24"/>
      <w:szCs w:val="24"/>
    </w:rPr>
  </w:style>
  <w:style w:type="paragraph" w:styleId="663">
    <w:name w:val="Quote"/>
    <w:basedOn w:val="814"/>
    <w:next w:val="814"/>
    <w:link w:val="664"/>
    <w:uiPriority w:val="29"/>
    <w:qFormat/>
    <w:pPr>
      <w:ind w:left="720" w:right="720"/>
    </w:pPr>
    <w:rPr>
      <w:i/>
    </w:rPr>
  </w:style>
  <w:style w:type="character" w:styleId="664">
    <w:name w:val="Quote Char"/>
    <w:link w:val="663"/>
    <w:uiPriority w:val="29"/>
    <w:rPr>
      <w:i/>
    </w:rPr>
  </w:style>
  <w:style w:type="paragraph" w:styleId="665">
    <w:name w:val="Intense Quote"/>
    <w:basedOn w:val="814"/>
    <w:next w:val="814"/>
    <w:link w:val="666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66">
    <w:name w:val="Intense Quote Char"/>
    <w:link w:val="665"/>
    <w:uiPriority w:val="30"/>
    <w:rPr>
      <w:i/>
    </w:rPr>
  </w:style>
  <w:style w:type="character" w:styleId="667">
    <w:name w:val="Header Char"/>
    <w:basedOn w:val="815"/>
    <w:link w:val="823"/>
    <w:uiPriority w:val="99"/>
  </w:style>
  <w:style w:type="character" w:styleId="668">
    <w:name w:val="Footer Char"/>
    <w:basedOn w:val="815"/>
    <w:link w:val="825"/>
    <w:uiPriority w:val="99"/>
  </w:style>
  <w:style w:type="paragraph" w:styleId="669">
    <w:name w:val="Caption"/>
    <w:basedOn w:val="814"/>
    <w:next w:val="814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70">
    <w:name w:val="Caption Char"/>
    <w:basedOn w:val="669"/>
    <w:link w:val="825"/>
    <w:uiPriority w:val="99"/>
  </w:style>
  <w:style w:type="table" w:styleId="671">
    <w:name w:val="Table Grid Light"/>
    <w:basedOn w:val="81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72">
    <w:name w:val="Plain Table 1"/>
    <w:basedOn w:val="81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73">
    <w:name w:val="Plain Table 2"/>
    <w:basedOn w:val="816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74">
    <w:name w:val="Plain Table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75">
    <w:name w:val="Plain Table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6">
    <w:name w:val="Plain Table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77">
    <w:name w:val="Grid Table 1 Light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8">
    <w:name w:val="Grid Table 1 Light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9">
    <w:name w:val="Grid Table 1 Light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0">
    <w:name w:val="Grid Table 1 Light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1">
    <w:name w:val="Grid Table 1 Light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2">
    <w:name w:val="Grid Table 1 Light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3">
    <w:name w:val="Grid Table 1 Light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4">
    <w:name w:val="Grid Table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5">
    <w:name w:val="Grid Table 2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6">
    <w:name w:val="Grid Table 2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7">
    <w:name w:val="Grid Table 2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8">
    <w:name w:val="Grid Table 2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9">
    <w:name w:val="Grid Table 2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0">
    <w:name w:val="Grid Table 2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1">
    <w:name w:val="Grid Table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2">
    <w:name w:val="Grid Table 3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3">
    <w:name w:val="Grid Table 3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4">
    <w:name w:val="Grid Table 3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5">
    <w:name w:val="Grid Table 3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6">
    <w:name w:val="Grid Table 3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7">
    <w:name w:val="Grid Table 3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8">
    <w:name w:val="Grid Table 4"/>
    <w:basedOn w:val="81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699">
    <w:name w:val="Grid Table 4 - Accent 1"/>
    <w:basedOn w:val="81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00">
    <w:name w:val="Grid Table 4 - Accent 2"/>
    <w:basedOn w:val="81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01">
    <w:name w:val="Grid Table 4 - Accent 3"/>
    <w:basedOn w:val="81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02">
    <w:name w:val="Grid Table 4 - Accent 4"/>
    <w:basedOn w:val="81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03">
    <w:name w:val="Grid Table 4 - Accent 5"/>
    <w:basedOn w:val="81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04">
    <w:name w:val="Grid Table 4 - Accent 6"/>
    <w:basedOn w:val="81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05">
    <w:name w:val="Grid Table 5 Dark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06">
    <w:name w:val="Grid Table 5 Dark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07">
    <w:name w:val="Grid Table 5 Dark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08">
    <w:name w:val="Grid Table 5 Dark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09">
    <w:name w:val="Grid Table 5 Dark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10">
    <w:name w:val="Grid Table 5 Dark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11">
    <w:name w:val="Grid Table 5 Dark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12">
    <w:name w:val="Grid Table 6 Colorful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13">
    <w:name w:val="Grid Table 6 Colorful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14">
    <w:name w:val="Grid Table 6 Colorful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15">
    <w:name w:val="Grid Table 6 Colorful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16">
    <w:name w:val="Grid Table 6 Colorful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17">
    <w:name w:val="Grid Table 6 Colorful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18">
    <w:name w:val="Grid Table 6 Colorful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19">
    <w:name w:val="Grid Table 7 Colorful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7 Colorful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>
    <w:name w:val="Grid Table 7 Colorful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7 Colorful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7 Colorful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>
    <w:name w:val="Grid Table 7 Colorful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>
    <w:name w:val="Grid Table 7 Colorful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>
    <w:name w:val="List Table 1 Light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>
    <w:name w:val="List Table 1 Light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>
    <w:name w:val="List Table 1 Light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>
    <w:name w:val="List Table 1 Light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List Table 1 Light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List Table 1 Light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>
    <w:name w:val="List Table 1 Light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>
    <w:name w:val="List Table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34">
    <w:name w:val="List Table 2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35">
    <w:name w:val="List Table 2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36">
    <w:name w:val="List Table 2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37">
    <w:name w:val="List Table 2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38">
    <w:name w:val="List Table 2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39">
    <w:name w:val="List Table 2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40">
    <w:name w:val="List Table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1">
    <w:name w:val="List Table 3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2">
    <w:name w:val="List Table 3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3">
    <w:name w:val="List Table 3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4">
    <w:name w:val="List Table 3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5">
    <w:name w:val="List Table 3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6">
    <w:name w:val="List Table 3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7">
    <w:name w:val="List Table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8">
    <w:name w:val="List Table 4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9">
    <w:name w:val="List Table 4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0">
    <w:name w:val="List Table 4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1">
    <w:name w:val="List Table 4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2">
    <w:name w:val="List Table 4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3">
    <w:name w:val="List Table 4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4">
    <w:name w:val="List Table 5 Dark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5">
    <w:name w:val="List Table 5 Dark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6">
    <w:name w:val="List Table 5 Dark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7">
    <w:name w:val="List Table 5 Dark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8">
    <w:name w:val="List Table 5 Dark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9">
    <w:name w:val="List Table 5 Dark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0">
    <w:name w:val="List Table 5 Dark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1">
    <w:name w:val="List Table 6 Colorful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62">
    <w:name w:val="List Table 6 Colorful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63">
    <w:name w:val="List Table 6 Colorful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64">
    <w:name w:val="List Table 6 Colorful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65">
    <w:name w:val="List Table 6 Colorful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66">
    <w:name w:val="List Table 6 Colorful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67">
    <w:name w:val="List Table 6 Colorful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68">
    <w:name w:val="List Table 7 Colorful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69">
    <w:name w:val="List Table 7 Colorful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70">
    <w:name w:val="List Table 7 Colorful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71">
    <w:name w:val="List Table 7 Colorful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72">
    <w:name w:val="List Table 7 Colorful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73">
    <w:name w:val="List Table 7 Colorful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74">
    <w:name w:val="List Table 7 Colorful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75">
    <w:name w:val="Lined - Accent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76">
    <w:name w:val="Lined - Accent 1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77">
    <w:name w:val="Lined - Accent 2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78">
    <w:name w:val="Lined - Accent 3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79">
    <w:name w:val="Lined - Accent 4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80">
    <w:name w:val="Lined - Accent 5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81">
    <w:name w:val="Lined - Accent 6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782">
    <w:name w:val="Bordered &amp; Lined - Accent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83">
    <w:name w:val="Bordered &amp; Lined - Accent 1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84">
    <w:name w:val="Bordered &amp; Lined - Accent 2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85">
    <w:name w:val="Bordered &amp; Lined - Accent 3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86">
    <w:name w:val="Bordered &amp; Lined - Accent 4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87">
    <w:name w:val="Bordered &amp; Lined - Accent 5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88">
    <w:name w:val="Bordered &amp; Lined - Accent 6"/>
    <w:basedOn w:val="81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789">
    <w:name w:val="Bordered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790">
    <w:name w:val="Bordered - Accent 1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791">
    <w:name w:val="Bordered - Accent 2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792">
    <w:name w:val="Bordered - Accent 3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793">
    <w:name w:val="Bordered - Accent 4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794">
    <w:name w:val="Bordered - Accent 5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795">
    <w:name w:val="Bordered - Accent 6"/>
    <w:basedOn w:val="81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796">
    <w:name w:val="Hyperlink"/>
    <w:uiPriority w:val="99"/>
    <w:unhideWhenUsed/>
    <w:rPr>
      <w:color w:val="0000ff" w:themeColor="hyperlink"/>
      <w:u w:val="single"/>
    </w:rPr>
  </w:style>
  <w:style w:type="paragraph" w:styleId="797">
    <w:name w:val="footnote text"/>
    <w:basedOn w:val="814"/>
    <w:link w:val="798"/>
    <w:uiPriority w:val="99"/>
    <w:semiHidden/>
    <w:unhideWhenUsed/>
    <w:pPr>
      <w:spacing w:after="40" w:line="240" w:lineRule="auto"/>
    </w:pPr>
    <w:rPr>
      <w:sz w:val="18"/>
    </w:rPr>
  </w:style>
  <w:style w:type="character" w:styleId="798">
    <w:name w:val="Footnote Text Char"/>
    <w:link w:val="797"/>
    <w:uiPriority w:val="99"/>
    <w:rPr>
      <w:sz w:val="18"/>
    </w:rPr>
  </w:style>
  <w:style w:type="character" w:styleId="799">
    <w:name w:val="footnote reference"/>
    <w:basedOn w:val="815"/>
    <w:uiPriority w:val="99"/>
    <w:unhideWhenUsed/>
    <w:rPr>
      <w:vertAlign w:val="superscript"/>
    </w:rPr>
  </w:style>
  <w:style w:type="paragraph" w:styleId="800">
    <w:name w:val="endnote text"/>
    <w:basedOn w:val="814"/>
    <w:link w:val="801"/>
    <w:uiPriority w:val="99"/>
    <w:semiHidden/>
    <w:unhideWhenUsed/>
    <w:pPr>
      <w:spacing w:after="0" w:line="240" w:lineRule="auto"/>
    </w:pPr>
    <w:rPr>
      <w:sz w:val="20"/>
    </w:rPr>
  </w:style>
  <w:style w:type="character" w:styleId="801">
    <w:name w:val="Endnote Text Char"/>
    <w:link w:val="800"/>
    <w:uiPriority w:val="99"/>
    <w:rPr>
      <w:sz w:val="20"/>
    </w:rPr>
  </w:style>
  <w:style w:type="character" w:styleId="802">
    <w:name w:val="endnote reference"/>
    <w:basedOn w:val="815"/>
    <w:uiPriority w:val="99"/>
    <w:semiHidden/>
    <w:unhideWhenUsed/>
    <w:rPr>
      <w:vertAlign w:val="superscript"/>
    </w:rPr>
  </w:style>
  <w:style w:type="paragraph" w:styleId="803">
    <w:name w:val="toc 1"/>
    <w:basedOn w:val="814"/>
    <w:next w:val="814"/>
    <w:uiPriority w:val="39"/>
    <w:unhideWhenUsed/>
    <w:pPr>
      <w:ind w:left="0" w:right="0" w:firstLine="0"/>
      <w:spacing w:after="57"/>
    </w:pPr>
  </w:style>
  <w:style w:type="paragraph" w:styleId="804">
    <w:name w:val="toc 2"/>
    <w:basedOn w:val="814"/>
    <w:next w:val="814"/>
    <w:uiPriority w:val="39"/>
    <w:unhideWhenUsed/>
    <w:pPr>
      <w:ind w:left="283" w:right="0" w:firstLine="0"/>
      <w:spacing w:after="57"/>
    </w:pPr>
  </w:style>
  <w:style w:type="paragraph" w:styleId="805">
    <w:name w:val="toc 3"/>
    <w:basedOn w:val="814"/>
    <w:next w:val="814"/>
    <w:uiPriority w:val="39"/>
    <w:unhideWhenUsed/>
    <w:pPr>
      <w:ind w:left="567" w:right="0" w:firstLine="0"/>
      <w:spacing w:after="57"/>
    </w:pPr>
  </w:style>
  <w:style w:type="paragraph" w:styleId="806">
    <w:name w:val="toc 4"/>
    <w:basedOn w:val="814"/>
    <w:next w:val="814"/>
    <w:uiPriority w:val="39"/>
    <w:unhideWhenUsed/>
    <w:pPr>
      <w:ind w:left="850" w:right="0" w:firstLine="0"/>
      <w:spacing w:after="57"/>
    </w:pPr>
  </w:style>
  <w:style w:type="paragraph" w:styleId="807">
    <w:name w:val="toc 5"/>
    <w:basedOn w:val="814"/>
    <w:next w:val="814"/>
    <w:uiPriority w:val="39"/>
    <w:unhideWhenUsed/>
    <w:pPr>
      <w:ind w:left="1134" w:right="0" w:firstLine="0"/>
      <w:spacing w:after="57"/>
    </w:pPr>
  </w:style>
  <w:style w:type="paragraph" w:styleId="808">
    <w:name w:val="toc 6"/>
    <w:basedOn w:val="814"/>
    <w:next w:val="814"/>
    <w:uiPriority w:val="39"/>
    <w:unhideWhenUsed/>
    <w:pPr>
      <w:ind w:left="1417" w:right="0" w:firstLine="0"/>
      <w:spacing w:after="57"/>
    </w:pPr>
  </w:style>
  <w:style w:type="paragraph" w:styleId="809">
    <w:name w:val="toc 7"/>
    <w:basedOn w:val="814"/>
    <w:next w:val="814"/>
    <w:uiPriority w:val="39"/>
    <w:unhideWhenUsed/>
    <w:pPr>
      <w:ind w:left="1701" w:right="0" w:firstLine="0"/>
      <w:spacing w:after="57"/>
    </w:pPr>
  </w:style>
  <w:style w:type="paragraph" w:styleId="810">
    <w:name w:val="toc 8"/>
    <w:basedOn w:val="814"/>
    <w:next w:val="814"/>
    <w:uiPriority w:val="39"/>
    <w:unhideWhenUsed/>
    <w:pPr>
      <w:ind w:left="1984" w:right="0" w:firstLine="0"/>
      <w:spacing w:after="57"/>
    </w:pPr>
  </w:style>
  <w:style w:type="paragraph" w:styleId="811">
    <w:name w:val="toc 9"/>
    <w:basedOn w:val="814"/>
    <w:next w:val="814"/>
    <w:uiPriority w:val="39"/>
    <w:unhideWhenUsed/>
    <w:pPr>
      <w:ind w:left="2268" w:right="0" w:firstLine="0"/>
      <w:spacing w:after="57"/>
    </w:pPr>
  </w:style>
  <w:style w:type="paragraph" w:styleId="812">
    <w:name w:val="TOC Heading"/>
    <w:uiPriority w:val="39"/>
    <w:unhideWhenUsed/>
  </w:style>
  <w:style w:type="paragraph" w:styleId="813">
    <w:name w:val="table of figures"/>
    <w:basedOn w:val="814"/>
    <w:next w:val="814"/>
    <w:uiPriority w:val="99"/>
    <w:unhideWhenUsed/>
    <w:pPr>
      <w:spacing w:after="0" w:afterAutospacing="0"/>
    </w:pPr>
  </w:style>
  <w:style w:type="paragraph" w:styleId="814" w:default="1">
    <w:name w:val="Normal"/>
    <w:qFormat/>
    <w:pPr>
      <w:spacing w:after="0" w:line="240" w:lineRule="auto"/>
    </w:pPr>
    <w:rPr>
      <w:rFonts w:ascii="Calibri" w:hAnsi="Calibri" w:cs="Calibri"/>
    </w:rPr>
  </w:style>
  <w:style w:type="character" w:styleId="815" w:default="1">
    <w:name w:val="Default Paragraph Font"/>
    <w:uiPriority w:val="1"/>
    <w:semiHidden/>
    <w:unhideWhenUsed/>
  </w:style>
  <w:style w:type="table" w:styleId="816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17" w:default="1">
    <w:name w:val="No List"/>
    <w:uiPriority w:val="99"/>
    <w:semiHidden/>
    <w:unhideWhenUsed/>
  </w:style>
  <w:style w:type="paragraph" w:styleId="818">
    <w:name w:val="List Paragraph"/>
    <w:basedOn w:val="814"/>
    <w:uiPriority w:val="34"/>
    <w:qFormat/>
    <w:pPr>
      <w:contextualSpacing/>
      <w:ind w:left="720"/>
    </w:pPr>
  </w:style>
  <w:style w:type="character" w:styleId="819">
    <w:name w:val="Strong"/>
    <w:basedOn w:val="815"/>
    <w:uiPriority w:val="22"/>
    <w:qFormat/>
    <w:rPr>
      <w:rFonts w:cs="Times New Roman"/>
      <w:b/>
    </w:rPr>
  </w:style>
  <w:style w:type="paragraph" w:styleId="820">
    <w:name w:val="Balloon Text"/>
    <w:basedOn w:val="814"/>
    <w:link w:val="821"/>
    <w:uiPriority w:val="99"/>
    <w:semiHidden/>
    <w:unhideWhenUsed/>
    <w:rPr>
      <w:rFonts w:ascii="Tahoma" w:hAnsi="Tahoma" w:cs="Tahoma"/>
      <w:sz w:val="16"/>
      <w:szCs w:val="16"/>
    </w:rPr>
  </w:style>
  <w:style w:type="character" w:styleId="821" w:customStyle="1">
    <w:name w:val="Текст выноски Знак"/>
    <w:basedOn w:val="815"/>
    <w:link w:val="820"/>
    <w:uiPriority w:val="99"/>
    <w:semiHidden/>
    <w:rPr>
      <w:rFonts w:ascii="Tahoma" w:hAnsi="Tahoma" w:cs="Tahoma"/>
      <w:sz w:val="16"/>
      <w:szCs w:val="16"/>
    </w:rPr>
  </w:style>
  <w:style w:type="table" w:styleId="822">
    <w:name w:val="Table Grid"/>
    <w:basedOn w:val="816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823">
    <w:name w:val="Header"/>
    <w:basedOn w:val="814"/>
    <w:link w:val="824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824" w:customStyle="1">
    <w:name w:val="Верхний колонтитул Знак"/>
    <w:basedOn w:val="815"/>
    <w:link w:val="823"/>
    <w:uiPriority w:val="99"/>
    <w:rPr>
      <w:rFonts w:ascii="Calibri" w:hAnsi="Calibri" w:cs="Calibri"/>
    </w:rPr>
  </w:style>
  <w:style w:type="paragraph" w:styleId="825">
    <w:name w:val="Footer"/>
    <w:basedOn w:val="814"/>
    <w:link w:val="826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826" w:customStyle="1">
    <w:name w:val="Нижний колонтитул Знак"/>
    <w:basedOn w:val="815"/>
    <w:link w:val="825"/>
    <w:uiPriority w:val="99"/>
    <w:rPr>
      <w:rFonts w:ascii="Calibri" w:hAnsi="Calibri" w:cs="Calibri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customXml" Target="../customXml/item1.xml" /><Relationship Id="rId10" Type="http://schemas.openxmlformats.org/officeDocument/2006/relationships/chart" Target="charts/chart1.xml" /><Relationship Id="rId11" Type="http://schemas.openxmlformats.org/officeDocument/2006/relationships/chart" Target="charts/chart2.xml" /><Relationship Id="rId12" Type="http://schemas.openxmlformats.org/officeDocument/2006/relationships/chart" Target="charts/chart3.xml" /><Relationship Id="rId13" Type="http://schemas.openxmlformats.org/officeDocument/2006/relationships/chart" Target="charts/chart4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charts/_rels/chart1.xml.rels><?xml version="1.0" encoding="UTF-8" standalone="yes"?><Relationships xmlns="http://schemas.openxmlformats.org/package/2006/relationships"><Relationship Id="rId1" Type="http://schemas.openxmlformats.org/officeDocument/2006/relationships/package" Target="../embeddings/Microsoft_Excel_Worksheet1.xlsx" /></Relationships>
</file>

<file path=word/charts/_rels/chart2.xml.rels><?xml version="1.0" encoding="UTF-8" standalone="yes"?><Relationships xmlns="http://schemas.openxmlformats.org/package/2006/relationships"><Relationship Id="rId1" Type="http://schemas.openxmlformats.org/officeDocument/2006/relationships/package" Target="../embeddings/Microsoft_Excel_Worksheet2.xlsx" /></Relationships>
</file>

<file path=word/charts/_rels/chart3.xml.rels><?xml version="1.0" encoding="UTF-8" standalone="yes"?><Relationships xmlns="http://schemas.openxmlformats.org/package/2006/relationships"><Relationship Id="rId1" Type="http://schemas.microsoft.com/office/2011/relationships/chartStyle" Target="style1.xml" /><Relationship Id="rId2" Type="http://schemas.microsoft.com/office/2011/relationships/chartColorStyle" Target="colors1.xml" /><Relationship Id="rId3" Type="http://schemas.openxmlformats.org/officeDocument/2006/relationships/package" Target="../embeddings/Microsoft_Excel_Worksheet3.xlsx" /></Relationships>
</file>

<file path=word/charts/_rels/chart4.xml.rels><?xml version="1.0" encoding="UTF-8" standalone="yes"?><Relationships xmlns="http://schemas.openxmlformats.org/package/2006/relationships"><Relationship Id="rId1" Type="http://schemas.openxmlformats.org/officeDocument/2006/relationships/package" Target="../embeddings/Microsoft_Excel_Worksheet4.xlsx" 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mc="http://schemas.openxmlformats.org/markup-compatibility/2006" xmlns:c14="http://schemas.microsoft.com/office/drawing/2007/8/2/chart">
  <c:date1904 val="0"/>
  <c:lang val="ru-RU"/>
  <c:roundedCorners val="0"/>
  <mc:AlternateContent>
    <mc:Choice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Динамика поступивших обращений</a:t>
            </a:r>
            <a:r>
              <a:rPr lang="en-US" sz="1200"/>
              <a:t> </a:t>
            </a:r>
            <a:r>
              <a:rPr lang="ru-RU" sz="1200"/>
              <a:t>в Минтранс НСО в</a:t>
            </a:r>
            <a:r>
              <a:rPr lang="ru-RU" sz="1200"/>
              <a:t> третьем квартале</a:t>
            </a:r>
            <a:r>
              <a:rPr lang="ru-RU" sz="1200"/>
              <a:t> 2023 года в сравнении со</a:t>
            </a:r>
            <a:r>
              <a:rPr lang="ru-RU" sz="1200"/>
              <a:t> вторым</a:t>
            </a:r>
            <a:r>
              <a:rPr lang="ru-RU" sz="1200"/>
              <a:t>  кварталом </a:t>
            </a:r>
            <a:r>
              <a:rPr lang="ru-RU" sz="1200"/>
              <a:t> 2023</a:t>
            </a:r>
            <a:r>
              <a:rPr lang="ru-RU" sz="1200"/>
              <a:t> года  </a:t>
            </a:r>
            <a:endParaRPr/>
          </a:p>
          <a:p>
            <a:pPr>
              <a:defRPr/>
            </a:pPr>
            <a:r>
              <a:rPr lang="ru-RU" sz="1200"/>
              <a:t>и третьим кварталом 2022 года  </a:t>
            </a:r>
            <a:endParaRPr/>
          </a:p>
        </c:rich>
      </c:tx>
      <c:layout>
        <c:manualLayout>
          <c:xMode val="edge"/>
          <c:yMode val="edge"/>
          <c:x val="0.12651000000000001"/>
          <c:y val="0.037010000000000001"/>
        </c:manualLayout>
      </c:layout>
      <c:overlay val="0"/>
    </c:title>
    <c:autoTitleDeleted val="0"/>
    <c:view3D>
      <c:rotX val="30"/>
      <c:rotY val="0"/>
      <c:depthPercent val="100"/>
      <c:rAngAx val="1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 xml:space="preserve">Количество поступивших обращений</c:v>
                </c:pt>
              </c:strCache>
            </c:strRef>
          </c:tx>
          <c:dLbls>
            <c:dLblPos val="ctr"/>
            <c:showBubbleSize val="0"/>
            <c:showCatName val="0"/>
            <c:showLeaderLines val="0"/>
            <c:showLegendKey val="0"/>
            <c:showPercent val="0"/>
            <c:showSerName val="0"/>
            <c:showVal val="1"/>
            <c:spPr bwMode="auto">
              <a:prstGeom prst="rect">
                <a:avLst/>
              </a:prstGeom>
              <a:noFill/>
              <a:ln>
                <a:noFill/>
              </a:ln>
              <a:effectLst/>
            </c:spPr>
          </c:dLbls>
          <c:cat>
            <c:strRef>
              <c:f>Лист1!$A$2:$A$5</c:f>
              <c:strCache>
                <c:ptCount val="4"/>
                <c:pt idx="1">
                  <c:v xml:space="preserve">3 квартал 2023 года</c:v>
                </c:pt>
                <c:pt idx="2">
                  <c:v xml:space="preserve">2 квартал 2023 года</c:v>
                </c:pt>
                <c:pt idx="3">
                  <c:v xml:space="preserve">3 квартал 2022 года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680</c:v>
                </c:pt>
                <c:pt idx="2">
                  <c:v>444</c:v>
                </c:pt>
                <c:pt idx="3">
                  <c:v>373</c:v>
                </c:pt>
              </c:numCache>
            </c:numRef>
          </c:val>
        </c:ser>
        <c:dLbls>
          <c:dLblPos val="ctr"/>
          <c:showBubbleSize val="0"/>
          <c:showCatName val="0"/>
          <c:showLeaderLines val="0"/>
          <c:showLegendKey val="0"/>
          <c:showPercent val="0"/>
          <c:showSerName val="0"/>
          <c:showVal val="0"/>
        </c:dLbls>
      </c:pie3DChart>
    </c:plotArea>
    <c:legend>
      <c:legendPos val="t"/>
      <c:legendEntry>
        <c:idx val="0"/>
        <c:delete val="1"/>
      </c:legendEntry>
      <c:layout>
        <c:manualLayout>
          <c:x val="-0.0079299999999999995"/>
          <c:y val="0"/>
        </c:manualLayout>
      </c:layout>
      <c:overlay val="0"/>
    </c:legend>
    <c:plotVisOnly val="1"/>
    <c:dispBlanksAs val="gap"/>
    <c:showDLblsOverMax val="0"/>
  </c:chart>
  <c:spPr bwMode="auto">
    <a:xfrm>
      <a:off x="0" y="0"/>
      <a:ext cx="6003229" cy="2401290"/>
    </a:xfrm>
  </c:sp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mc="http://schemas.openxmlformats.org/markup-compatibility/2006" xmlns:c14="http://schemas.microsoft.com/office/drawing/2007/8/2/chart">
  <c:date1904 val="0"/>
  <c:lang val="ru-RU"/>
  <c:roundedCorners val="0"/>
  <mc:AlternateContent>
    <mc:Choice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Динамика</a:t>
            </a:r>
            <a:r>
              <a:rPr lang="ru-RU" sz="1200"/>
              <a:t> обращений поступивших в адрес Минтранса НСО в третьем квартале 2023 года, в сравнении  со вторым  кварталом  2023 года и третьим кварталом 2022 года</a:t>
            </a:r>
            <a:endParaRPr lang="ru-RU" sz="1200"/>
          </a:p>
        </c:rich>
      </c:tx>
      <c:layout>
        <c:manualLayout>
          <c:xMode val="edge"/>
          <c:yMode val="edge"/>
          <c:x val="0.13428999999999999"/>
          <c:y val="0.017250000000000001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bar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 xml:space="preserve">3 квартал 2023 год</c:v>
                </c:pt>
              </c:strCache>
            </c:strRef>
          </c:tx>
          <c:invertIfNegative val="0"/>
          <c:dLbls>
            <c:showBubbleSize val="0"/>
            <c:showCatName val="0"/>
            <c:showLeaderLines val="0"/>
            <c:showLegendKey val="0"/>
            <c:showPercent val="0"/>
            <c:showSerName val="0"/>
            <c:showVal val="1"/>
            <c:spPr bwMode="auto">
              <a:prstGeom prst="rect">
                <a:avLst/>
              </a:prstGeom>
              <a:noFill/>
              <a:ln>
                <a:noFill/>
              </a:ln>
              <a:effectLst/>
            </c:spPr>
          </c:dLbls>
          <c:cat>
            <c:strRef>
              <c:f>Лист1!$A$2:$A$5</c:f>
              <c:strCache>
                <c:ptCount val="3"/>
                <c:pt idx="1">
                  <c:v xml:space="preserve">общественная приемная</c:v>
                </c:pt>
                <c:pt idx="2">
                  <c:v xml:space="preserve">непосредственно в министерство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218</c:v>
                </c:pt>
                <c:pt idx="2">
                  <c:v>462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 xml:space="preserve">2 квартал 2023 год</c:v>
                </c:pt>
              </c:strCache>
            </c:strRef>
          </c:tx>
          <c:invertIfNegative val="0"/>
          <c:dLbls>
            <c:showBubbleSize val="0"/>
            <c:showCatName val="0"/>
            <c:showLeaderLines val="0"/>
            <c:showLegendKey val="0"/>
            <c:showPercent val="0"/>
            <c:showSerName val="0"/>
            <c:showVal val="1"/>
            <c:spPr bwMode="auto">
              <a:prstGeom prst="rect">
                <a:avLst/>
              </a:prstGeom>
              <a:noFill/>
              <a:ln>
                <a:noFill/>
              </a:ln>
              <a:effectLst/>
            </c:spPr>
          </c:dLbls>
          <c:cat>
            <c:strRef>
              <c:f>Лист1!$A$2:$A$5</c:f>
              <c:strCache>
                <c:ptCount val="3"/>
                <c:pt idx="1">
                  <c:v xml:space="preserve">общественная приемная</c:v>
                </c:pt>
                <c:pt idx="2">
                  <c:v xml:space="preserve">непосредственно в министерство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96</c:v>
                </c:pt>
                <c:pt idx="2">
                  <c:v>348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 xml:space="preserve">3 квартал 2022 год</c:v>
                </c:pt>
              </c:strCache>
            </c:strRef>
          </c:tx>
          <c:invertIfNegative val="0"/>
          <c:dLbls>
            <c:showBubbleSize val="0"/>
            <c:showCatName val="0"/>
            <c:showLeaderLines val="0"/>
            <c:showLegendKey val="0"/>
            <c:showPercent val="0"/>
            <c:showSerName val="0"/>
            <c:showVal val="1"/>
            <c:spPr bwMode="auto">
              <a:prstGeom prst="rect">
                <a:avLst/>
              </a:prstGeom>
              <a:noFill/>
              <a:ln>
                <a:noFill/>
              </a:ln>
              <a:effectLst/>
            </c:spPr>
          </c:dLbls>
          <c:cat>
            <c:strRef>
              <c:f>Лист1!$A$2:$A$5</c:f>
              <c:strCache>
                <c:ptCount val="3"/>
                <c:pt idx="1">
                  <c:v xml:space="preserve">общественная приемная</c:v>
                </c:pt>
                <c:pt idx="2">
                  <c:v xml:space="preserve">непосредственно в министерство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100</c:v>
                </c:pt>
                <c:pt idx="2">
                  <c:v>273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dLbls>
            <c:showBubbleSize val="0"/>
            <c:showCatName val="0"/>
            <c:showLeaderLines val="0"/>
            <c:showLegendKey val="0"/>
            <c:showPercent val="0"/>
            <c:showSerName val="0"/>
            <c:showVal val="1"/>
            <c:spPr bwMode="auto">
              <a:prstGeom prst="rect">
                <a:avLst/>
              </a:prstGeom>
              <a:noFill/>
              <a:ln>
                <a:noFill/>
              </a:ln>
              <a:effectLst/>
            </c:spPr>
          </c:dLbls>
          <c:cat>
            <c:strRef>
              <c:f>Лист1!$A$2:$A$5</c:f>
              <c:strCache>
                <c:ptCount val="3"/>
                <c:pt idx="1">
                  <c:v xml:space="preserve">общественная приемная</c:v>
                </c:pt>
                <c:pt idx="2">
                  <c:v xml:space="preserve">непосредственно в министерство</c:v>
                </c:pt>
              </c:strCache>
            </c:strRef>
          </c:cat>
          <c:val>
            <c:numRef>
              <c:f>Лист1!$E$2:$E$5</c:f>
              <c:numCache>
                <c:formatCode>General</c:formatCode>
                <c:ptCount val="4"/>
              </c:numCache>
            </c:numRef>
          </c:val>
        </c:ser>
        <c:dLbls>
          <c:showBubbleSize val="0"/>
          <c:showCatName val="0"/>
          <c:showLeaderLines val="0"/>
          <c:showLegendKey val="0"/>
          <c:showPercent val="0"/>
          <c:showSerName val="0"/>
          <c:showVal val="1"/>
        </c:dLbls>
        <c:gapWidth val="95"/>
        <c:gapDepth val="95"/>
        <c:shape val="cylinder"/>
        <c:axId val="73373184"/>
        <c:axId val="73374720"/>
      </c:bar3DChart>
      <c:catAx>
        <c:axId val="73373184"/>
        <c:scaling>
          <c:orientation val="minMax"/>
        </c:scaling>
        <c:delete val="0"/>
        <c:axPos val="l"/>
        <c:majorGridlines>
          <c:spPr bwMode="auto"/>
        </c:majorGridlines>
        <c:minorGridlines>
          <c:spPr bwMode="auto"/>
        </c:minorGridlines>
        <c:numFmt formatCode="General" sourceLinked="0"/>
        <c:majorTickMark val="none"/>
        <c:minorTickMark val="none"/>
        <c:tickLblPos val="nextTo"/>
        <c:crossAx val="73374720"/>
        <c:crosses val="autoZero"/>
        <c:auto val="1"/>
        <c:lblAlgn val="ctr"/>
        <c:lblOffset val="100"/>
        <c:noMultiLvlLbl val="0"/>
      </c:catAx>
      <c:valAx>
        <c:axId val="73374720"/>
        <c:scaling>
          <c:orientation val="minMax"/>
        </c:scaling>
        <c:delete val="1"/>
        <c:axPos val="b"/>
        <c:majorGridlines>
          <c:spPr bwMode="auto"/>
        </c:majorGridlines>
        <c:minorGridlines>
          <c:spPr bwMode="auto"/>
        </c:minorGridlines>
        <c:numFmt formatCode="General" sourceLinked="1"/>
        <c:majorTickMark val="out"/>
        <c:minorTickMark val="none"/>
        <c:tickLblPos val="none"/>
        <c:crossAx val="73373184"/>
        <c:crosses val="autoZero"/>
        <c:crossBetween val="between"/>
      </c:valAx>
      <c:spPr bwMode="auto">
        <a:prstGeom prst="rect">
          <a:avLst/>
        </a:prstGeom>
        <a:noFill/>
        <a:ln w="25400">
          <a:noFill/>
        </a:ln>
      </c:spPr>
    </c:plotArea>
    <c:legend>
      <c:legendPos val="t"/>
      <c:legendEntry>
        <c:idx val="3"/>
        <c:delete val="1"/>
      </c:legendEntry>
      <c:layout/>
      <c:overlay val="0"/>
      <c:txPr>
        <a:bodyPr/>
        <a:lstStyle/>
        <a:p>
          <a:pPr>
            <a:defRPr/>
          </a:pPr>
          <a:endParaRPr lang="ru-RU"/>
        </a:p>
      </c:txPr>
    </c:legend>
    <c:plotVisOnly val="1"/>
    <c:dispBlanksAs val="gap"/>
    <c:showDLblsOverMax val="0"/>
  </c:chart>
  <c:spPr bwMode="auto">
    <a:xfrm>
      <a:off x="0" y="0"/>
      <a:ext cx="6286496" cy="3133721"/>
    </a:xfrm>
  </c:sp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mc="http://schemas.openxmlformats.org/markup-compatibility/2006" xmlns:c14="http://schemas.microsoft.com/office/drawing/2007/8/2/chart">
  <c:date1904 val="0"/>
  <c:lang val="ru-RU"/>
  <c:roundedCorners val="0"/>
  <mc:AlternateContent>
    <mc:Choice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Виды</a:t>
            </a:r>
            <a:r>
              <a:rPr lang="ru-RU" sz="1200"/>
              <a:t> поступивших обращений в третьем квартале 2023 года в сравнении со вторым кварталом 2023 года и с</a:t>
            </a:r>
            <a:endParaRPr lang="ru-RU" sz="1200"/>
          </a:p>
          <a:p>
            <a:pPr>
              <a:defRPr/>
            </a:pPr>
            <a:r>
              <a:rPr lang="ru-RU" sz="1200"/>
              <a:t> третьим кварталом 2022 года</a:t>
            </a:r>
            <a:r>
              <a:rPr lang="ru-RU"/>
              <a:t> </a:t>
            </a:r>
            <a:endParaRPr lang="ru-RU"/>
          </a:p>
        </c:rich>
      </c:tx>
      <c:layout>
        <c:manualLayout>
          <c:xMode val="edge"/>
          <c:yMode val="edge"/>
          <c:x val="0.124"/>
          <c:y val="0.022030000000000001"/>
        </c:manualLayout>
      </c:layout>
      <c:overlay val="0"/>
      <c:spPr bwMode="auto">
        <a:prstGeom prst="rect">
          <a:avLst/>
        </a:prstGeom>
        <a:noFill/>
        <a:ln>
          <a:noFill/>
        </a:ln>
      </c:spPr>
      <c:txPr>
        <a:bodyPr/>
        <a:p>
          <a:pPr>
            <a:defRPr sz="1800" b="0" cap="all">
              <a:solidFill>
                <a:schemeClr val="lt1"/>
              </a:solidFill>
              <a:latin typeface="+mn-lt"/>
              <a:ea typeface="+mn-ea"/>
              <a:cs typeface="+mn-cs"/>
            </a:defRPr>
          </a:pPr>
          <a:endParaRPr/>
        </a:p>
      </c:txPr>
    </c:title>
    <c:autoTitleDeleted val="0"/>
    <c:view3D>
      <c:rotX val="15"/>
      <c:rotY val="20"/>
      <c:depthPercent val="100"/>
      <c:rAngAx val="1"/>
    </c:view3D>
    <c:floor>
      <c:thickness val="0"/>
      <c:spPr bwMode="auto">
        <a:prstGeom prst="rect">
          <a:avLst/>
        </a:prstGeom>
        <a:noFill/>
        <a:ln>
          <a:noFill/>
        </a:ln>
      </c:spPr>
    </c:floor>
    <c:sideWall>
      <c:thickness val="0"/>
      <c:spPr bwMode="auto">
        <a:prstGeom prst="rect">
          <a:avLst/>
        </a:prstGeom>
        <a:noFill/>
        <a:ln>
          <a:noFill/>
        </a:ln>
      </c:spPr>
    </c:sideWall>
    <c:backWall>
      <c:thickness val="0"/>
      <c:spPr bwMode="auto">
        <a:prstGeom prst="rect">
          <a:avLst/>
        </a:prstGeom>
        <a:noFill/>
        <a:ln>
          <a:noFill/>
        </a:ln>
      </c:spPr>
    </c:backWall>
    <c:plotArea>
      <c:layout>
        <c:manualLayout>
          <c:layoutTarget val="inner"/>
          <c:xMode val="edge"/>
          <c:yMode val="edge"/>
          <c:x val="0.25616"/>
          <c:y val="0.1958"/>
          <c:w val="0.72994000000000003"/>
          <c:h val="0.53822000000000003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 xml:space="preserve">3 квартал 2023 год</c:v>
                </c:pt>
              </c:strCache>
            </c:strRef>
          </c:tx>
          <c:spPr bwMode="auto">
            <a:prstGeom prst="rect">
              <a:avLst/>
            </a:prstGeom>
            <a:solidFill>
              <a:schemeClr val="accent1">
                <a:alpha val="88000"/>
              </a:schemeClr>
            </a:solidFill>
            <a:ln>
              <a:solidFill>
                <a:schemeClr val="accent1">
                  <a:lumMod val="50000"/>
                </a:schemeClr>
              </a:solidFill>
            </a:ln>
          </c:spPr>
          <c:invertIfNegative val="0"/>
          <c:dLbls>
            <c:showBubbleSize val="0"/>
            <c:showCatName val="0"/>
            <c:showLeaderLines val="0"/>
            <c:showLegendKey val="0"/>
            <c:showPercent val="0"/>
            <c:showSerName val="0"/>
            <c:showVal val="1"/>
            <c:spPr bwMode="auto">
              <a:prstGeom prst="rect">
                <a:avLst/>
              </a:prstGeom>
              <a:solidFill>
                <a:schemeClr val="accent1">
                  <a:alpha val="30000"/>
                </a:schemeClr>
              </a:solidFill>
              <a:ln>
                <a:solidFill>
                  <a:schemeClr val="lt1">
                    <a:alpha val="50000"/>
                  </a:schemeClr>
                </a:solidFill>
                <a:round/>
              </a:ln>
            </c:spPr>
            <c:txPr>
              <a:bodyPr/>
              <a:p>
                <a:pPr>
                  <a:defRPr sz="900" b="1" i="0" u="none" strike="noStrike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/>
              </a:p>
            </c:txPr>
          </c:dLbls>
          <c:cat>
            <c:strRef>
              <c:f>Лист1!$A$2:$A$5</c:f>
              <c:strCache>
                <c:ptCount val="4"/>
                <c:pt idx="0">
                  <c:v>письменные</c:v>
                </c:pt>
                <c:pt idx="1">
                  <c:v>устные</c:v>
                </c:pt>
                <c:pt idx="2">
                  <c:v xml:space="preserve">электронная почта</c:v>
                </c:pt>
                <c:pt idx="3">
                  <c:v xml:space="preserve">личный прием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677</c:v>
                </c:pt>
                <c:pt idx="1">
                  <c:v>0</c:v>
                </c:pt>
                <c:pt idx="2">
                  <c:v>0</c:v>
                </c:pt>
                <c:pt idx="3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 xml:space="preserve">2 квартал 2023 год</c:v>
                </c:pt>
              </c:strCache>
            </c:strRef>
          </c:tx>
          <c:spPr bwMode="auto">
            <a:prstGeom prst="rect">
              <a:avLst/>
            </a:prstGeom>
            <a:solidFill>
              <a:schemeClr val="accent2">
                <a:alpha val="88000"/>
              </a:schemeClr>
            </a:solidFill>
            <a:ln>
              <a:solidFill>
                <a:schemeClr val="accent2">
                  <a:lumMod val="50000"/>
                </a:schemeClr>
              </a:solidFill>
            </a:ln>
          </c:spPr>
          <c:invertIfNegative val="0"/>
          <c:dLbls>
            <c:showBubbleSize val="0"/>
            <c:showCatName val="0"/>
            <c:showLeaderLines val="0"/>
            <c:showLegendKey val="0"/>
            <c:showPercent val="0"/>
            <c:showSerName val="0"/>
            <c:showVal val="1"/>
            <c:spPr bwMode="auto">
              <a:prstGeom prst="rect">
                <a:avLst/>
              </a:prstGeom>
              <a:solidFill>
                <a:schemeClr val="accent2">
                  <a:alpha val="30000"/>
                </a:schemeClr>
              </a:solidFill>
              <a:ln>
                <a:solidFill>
                  <a:schemeClr val="lt1">
                    <a:alpha val="50000"/>
                  </a:schemeClr>
                </a:solidFill>
                <a:round/>
              </a:ln>
            </c:spPr>
            <c:txPr>
              <a:bodyPr/>
              <a:p>
                <a:pPr>
                  <a:defRPr sz="900" b="1" i="0" u="none" strike="noStrike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/>
              </a:p>
            </c:txPr>
          </c:dLbls>
          <c:cat>
            <c:strRef>
              <c:f>Лист1!$A$2:$A$5</c:f>
              <c:strCache>
                <c:ptCount val="4"/>
                <c:pt idx="0">
                  <c:v>письменные</c:v>
                </c:pt>
                <c:pt idx="1">
                  <c:v>устные</c:v>
                </c:pt>
                <c:pt idx="2">
                  <c:v xml:space="preserve">электронная почта</c:v>
                </c:pt>
                <c:pt idx="3">
                  <c:v xml:space="preserve">личный прием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414</c:v>
                </c:pt>
                <c:pt idx="1">
                  <c:v>0</c:v>
                </c:pt>
                <c:pt idx="2">
                  <c:v>0</c:v>
                </c:pt>
                <c:pt idx="3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 xml:space="preserve">3 квартал 2022 года</c:v>
                </c:pt>
              </c:strCache>
            </c:strRef>
          </c:tx>
          <c:spPr bwMode="auto">
            <a:prstGeom prst="rect">
              <a:avLst/>
            </a:prstGeom>
            <a:solidFill>
              <a:schemeClr val="accent3">
                <a:alpha val="88000"/>
              </a:schemeClr>
            </a:solidFill>
            <a:ln>
              <a:solidFill>
                <a:schemeClr val="accent3">
                  <a:lumMod val="50000"/>
                </a:schemeClr>
              </a:solidFill>
            </a:ln>
          </c:spPr>
          <c:invertIfNegative val="0"/>
          <c:dLbls>
            <c:showBubbleSize val="0"/>
            <c:showCatName val="0"/>
            <c:showLeaderLines val="0"/>
            <c:showLegendKey val="0"/>
            <c:showPercent val="0"/>
            <c:showSerName val="0"/>
            <c:showVal val="1"/>
            <c:spPr bwMode="auto">
              <a:prstGeom prst="rect">
                <a:avLst/>
              </a:prstGeom>
              <a:solidFill>
                <a:schemeClr val="accent3">
                  <a:alpha val="30000"/>
                </a:schemeClr>
              </a:solidFill>
              <a:ln>
                <a:solidFill>
                  <a:schemeClr val="lt1">
                    <a:alpha val="50000"/>
                  </a:schemeClr>
                </a:solidFill>
                <a:round/>
              </a:ln>
            </c:spPr>
            <c:txPr>
              <a:bodyPr/>
              <a:p>
                <a:pPr>
                  <a:defRPr sz="900" b="1" i="0" u="none" strike="noStrike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/>
              </a:p>
            </c:txPr>
          </c:dLbls>
          <c:cat>
            <c:strRef>
              <c:f>Лист1!$A$2:$A$5</c:f>
              <c:strCache>
                <c:ptCount val="4"/>
                <c:pt idx="0">
                  <c:v>письменные</c:v>
                </c:pt>
                <c:pt idx="1">
                  <c:v>устные</c:v>
                </c:pt>
                <c:pt idx="2">
                  <c:v xml:space="preserve">электронная почта</c:v>
                </c:pt>
                <c:pt idx="3">
                  <c:v xml:space="preserve">личный прием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333</c:v>
                </c:pt>
                <c:pt idx="1">
                  <c:v>1</c:v>
                </c:pt>
                <c:pt idx="2">
                  <c:v>2</c:v>
                </c:pt>
                <c:pt idx="3">
                  <c:v>2</c:v>
                </c:pt>
              </c:numCache>
            </c:numRef>
          </c:val>
        </c:ser>
        <c:dLbls>
          <c:showBubbleSize val="0"/>
          <c:showCatName val="0"/>
          <c:showLeaderLines val="0"/>
          <c:showLegendKey val="0"/>
          <c:showPercent val="0"/>
          <c:showSerName val="0"/>
          <c:showVal val="1"/>
          <c:spPr bwMode="auto">
            <a:prstGeom prst="rect">
              <a:avLst/>
            </a:prstGeom>
            <a:solidFill>
              <a:schemeClr val="accent1">
                <a:alpha val="30000"/>
              </a:schemeClr>
            </a:solidFill>
            <a:ln>
              <a:solidFill>
                <a:schemeClr val="lt1">
                  <a:alpha val="50000"/>
                </a:schemeClr>
              </a:solidFill>
              <a:round/>
            </a:ln>
          </c:spPr>
          <c:txPr>
            <a:bodyPr/>
            <a:p>
              <a:pPr>
                <a:defRPr sz="900" b="1" i="0" u="none" strike="noStrike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pPr>
              <a:endParaRPr/>
            </a:p>
          </c:txPr>
        </c:dLbls>
        <c:gapWidth val="84"/>
        <c:gapDepth val="53"/>
        <c:shape val="cone"/>
        <c:axId val="86335891"/>
        <c:axId val="86335892"/>
      </c:bar3DChart>
      <c:catAx>
        <c:axId val="86335891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 bwMode="auto">
          <a:prstGeom prst="rect">
            <a:avLst/>
          </a:prstGeom>
          <a:noFill/>
          <a:ln>
            <a:noFill/>
          </a:ln>
        </c:spPr>
        <c:txPr>
          <a:bodyPr/>
          <a:p>
            <a:pPr>
              <a:defRPr sz="900">
                <a:solidFill>
                  <a:schemeClr val="lt1">
                    <a:lumMod val="75000"/>
                  </a:schemeClr>
                </a:solidFill>
                <a:latin typeface="Calibri"/>
                <a:ea typeface="Arial"/>
                <a:cs typeface="Arial"/>
              </a:defRPr>
            </a:pPr>
            <a:endParaRPr/>
          </a:p>
        </c:txPr>
        <c:crossAx val="86335892"/>
        <c:crosses val="autoZero"/>
        <c:auto val="1"/>
        <c:lblAlgn val="ctr"/>
        <c:lblOffset val="100"/>
        <c:noMultiLvlLbl val="0"/>
      </c:catAx>
      <c:valAx>
        <c:axId val="86335892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spPr bwMode="auto">
          <a:prstGeom prst="rect">
            <a:avLst/>
          </a:prstGeom>
          <a:noFill/>
          <a:ln>
            <a:noFill/>
          </a:ln>
        </c:spPr>
        <c:txPr>
          <a:bodyPr/>
          <a:p>
            <a:pPr>
              <a:defRPr sz="900">
                <a:solidFill>
                  <a:schemeClr val="lt1">
                    <a:lumMod val="75000"/>
                  </a:schemeClr>
                </a:solidFill>
                <a:latin typeface="+mn-lt"/>
                <a:ea typeface="+mn-ea"/>
                <a:cs typeface="+mn-cs"/>
              </a:defRPr>
            </a:pPr>
            <a:endParaRPr/>
          </a:p>
        </c:txPr>
        <c:crossAx val="86335891"/>
        <c:crosses val="autoZero"/>
        <c:crossBetween val="between"/>
      </c:valAx>
      <c:dTable>
        <c:showHorzBorder val="1"/>
        <c:showVertBorder val="1"/>
        <c:showOutline val="1"/>
        <c:showKeys val="1"/>
        <c:spPr bwMode="auto">
          <a:prstGeom prst="rect">
            <a:avLst/>
          </a:prstGeom>
          <a:solidFill>
            <a:schemeClr val="dk1">
              <a:lumMod val="75000"/>
              <a:lumOff val="25000"/>
            </a:schemeClr>
          </a:solidFill>
          <a:ln w="6350" cap="flat" cmpd="sng" algn="ctr">
            <a:solidFill>
              <a:schemeClr val="dk1">
                <a:tint val="75000"/>
              </a:schemeClr>
            </a:solidFill>
            <a:round/>
          </a:ln>
        </c:spPr>
        <c:txPr>
          <a:bodyPr/>
          <a:p>
            <a:pPr>
              <a:defRPr sz="1000">
                <a:solidFill>
                  <a:schemeClr val="lt1"/>
                </a:solidFill>
                <a:latin typeface="+mn-lt"/>
                <a:ea typeface="+mn-ea"/>
                <a:cs typeface="+mn-cs"/>
              </a:defRPr>
            </a:pPr>
            <a:endParaRPr/>
          </a:p>
        </c:txPr>
      </c:dTable>
      <c:spPr bwMode="auto">
        <a:prstGeom prst="rect">
          <a:avLst/>
        </a:prstGeom>
        <a:noFill/>
        <a:ln>
          <a:noFill/>
        </a:ln>
      </c:spPr>
    </c:plotArea>
    <c:legend>
      <c:legendPos val="t"/>
      <c:layout>
        <c:manualLayout>
          <c:x val="0.0027799999999999999"/>
          <c:y val="0.68640999999999996"/>
        </c:manualLayout>
      </c:layout>
      <c:overlay val="0"/>
      <c:spPr bwMode="auto">
        <a:prstGeom prst="rect">
          <a:avLst/>
        </a:prstGeom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>
              <a:solidFill>
                <a:schemeClr val="lt1">
                  <a:lumMod val="7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 bwMode="auto">
    <a:xfrm>
      <a:off x="0" y="0"/>
      <a:ext cx="6837062" cy="3524610"/>
    </a:xfrm>
    <a:prstGeom prst="rect">
      <a:avLst/>
    </a:prstGeom>
    <a:solidFill>
      <a:schemeClr val="dk1">
        <a:lumMod val="75000"/>
        <a:lumOff val="25000"/>
      </a:schemeClr>
    </a:solidFill>
    <a:ln w="6350" cap="flat" cmpd="sng" algn="ctr">
      <a:solidFill>
        <a:schemeClr val="dk1">
          <a:tint val="75000"/>
        </a:schemeClr>
      </a:solidFill>
      <a:round/>
    </a:ln>
  </c:spPr>
  <c:txPr>
    <a:bodyPr/>
    <a:p>
      <a:pPr>
        <a:defRPr sz="1000">
          <a:solidFill>
            <a:schemeClr val="lt1"/>
          </a:solidFill>
          <a:latin typeface="+mn-lt"/>
          <a:ea typeface="+mn-ea"/>
          <a:cs typeface="+mn-cs"/>
        </a:defRPr>
      </a:pPr>
      <a:endParaRPr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mc="http://schemas.openxmlformats.org/markup-compatibility/2006" xmlns:c14="http://schemas.microsoft.com/office/drawing/2007/8/2/chart">
  <c:date1904 val="0"/>
  <c:lang val="ru-RU"/>
  <c:roundedCorners val="0"/>
  <mc:AlternateContent>
    <mc:Choice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400"/>
            </a:pPr>
            <a:r>
              <a:rPr lang="ru-RU" sz="1400"/>
              <a:t>Виды</a:t>
            </a:r>
            <a:r>
              <a:rPr lang="ru-RU" sz="1400"/>
              <a:t> обращений поступивших в адрес Минтранса НСО в третьем квартале 2023 года в сравнении со вторым кварталом 2023 года</a:t>
            </a:r>
            <a:r>
              <a:rPr lang="ru-RU" sz="1400"/>
              <a:t> и</a:t>
            </a:r>
            <a:endParaRPr lang="ru-RU" sz="1400"/>
          </a:p>
          <a:p>
            <a:pPr>
              <a:defRPr sz="1400"/>
            </a:pPr>
            <a:r>
              <a:rPr lang="ru-RU" sz="1400"/>
              <a:t> с третьим кварталом 2022 года</a:t>
            </a:r>
            <a:endParaRPr lang="ru-RU" sz="1400"/>
          </a:p>
        </c:rich>
      </c:tx>
      <c:layout>
        <c:manualLayout>
          <c:xMode val="edge"/>
          <c:yMode val="edge"/>
          <c:x val="0.14036999999999999"/>
          <c:y val="0.043790000000000003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'Лист1'!$B$1</c:f>
              <c:strCache>
                <c:ptCount val="1"/>
                <c:pt idx="0">
                  <c:v xml:space="preserve">3 квартал 2023 год</c:v>
                </c:pt>
              </c:strCache>
            </c:strRef>
          </c:tx>
          <c:invertIfNegative val="0"/>
          <c:dLbls>
            <c:showBubbleSize val="0"/>
            <c:showCatName val="0"/>
            <c:showLeaderLines val="0"/>
            <c:showLegendKey val="0"/>
            <c:showPercent val="0"/>
            <c:showSerName val="0"/>
            <c:showVal val="1"/>
            <c:spPr bwMode="auto">
              <a:prstGeom prst="rect">
                <a:avLst/>
              </a:prstGeom>
              <a:noFill/>
              <a:ln>
                <a:noFill/>
              </a:ln>
              <a:effectLst/>
            </c:spPr>
          </c:dLbls>
          <c:cat>
            <c:strRef>
              <c:f>'Лист1'!$A$2:$A$6</c:f>
              <c:strCache>
                <c:ptCount val="5"/>
                <c:pt idx="0">
                  <c:v>заявление</c:v>
                </c:pt>
                <c:pt idx="1">
                  <c:v>жалобы</c:v>
                </c:pt>
                <c:pt idx="2">
                  <c:v>предложения</c:v>
                </c:pt>
                <c:pt idx="3">
                  <c:v>запросы</c:v>
                </c:pt>
                <c:pt idx="4">
                  <c:v>смс-сообщения</c:v>
                </c:pt>
              </c:strCache>
            </c:strRef>
          </c:cat>
          <c:val>
            <c:numRef>
              <c:f>'Лист1'!$B$2:$B$6</c:f>
              <c:numCache>
                <c:formatCode>General</c:formatCode>
                <c:ptCount val="5"/>
                <c:pt idx="0">
                  <c:v>119</c:v>
                </c:pt>
                <c:pt idx="1">
                  <c:v>299</c:v>
                </c:pt>
                <c:pt idx="2">
                  <c:v>0</c:v>
                </c:pt>
                <c:pt idx="3">
                  <c:v>44</c:v>
                </c:pt>
                <c:pt idx="4">
                  <c:v>1</c:v>
                </c:pt>
              </c:numCache>
            </c:numRef>
          </c:val>
        </c:ser>
        <c:ser>
          <c:idx val="1"/>
          <c:order val="1"/>
          <c:tx>
            <c:strRef>
              <c:f>'Лист1'!$C$1</c:f>
              <c:strCache>
                <c:ptCount val="1"/>
                <c:pt idx="0">
                  <c:v xml:space="preserve">2 квартал 2023 год</c:v>
                </c:pt>
              </c:strCache>
            </c:strRef>
          </c:tx>
          <c:invertIfNegative val="0"/>
          <c:dLbls>
            <c:showBubbleSize val="0"/>
            <c:showCatName val="0"/>
            <c:showLeaderLines val="0"/>
            <c:showLegendKey val="0"/>
            <c:showPercent val="0"/>
            <c:showSerName val="0"/>
            <c:showVal val="1"/>
            <c:spPr bwMode="auto">
              <a:prstGeom prst="rect">
                <a:avLst/>
              </a:prstGeom>
              <a:noFill/>
              <a:ln>
                <a:noFill/>
              </a:ln>
              <a:effectLst/>
            </c:spPr>
          </c:dLbls>
          <c:cat>
            <c:strRef>
              <c:f>'Лист1'!$A$2:$A$6</c:f>
              <c:strCache>
                <c:ptCount val="5"/>
                <c:pt idx="0">
                  <c:v>заявление</c:v>
                </c:pt>
                <c:pt idx="1">
                  <c:v>жалобы</c:v>
                </c:pt>
                <c:pt idx="2">
                  <c:v>предложения</c:v>
                </c:pt>
                <c:pt idx="3">
                  <c:v>запросы</c:v>
                </c:pt>
                <c:pt idx="4">
                  <c:v>смс-сообщения</c:v>
                </c:pt>
              </c:strCache>
            </c:strRef>
          </c:cat>
          <c:val>
            <c:numRef>
              <c:f>'Лист1'!$C$2:$C$6</c:f>
              <c:numCache>
                <c:formatCode>General</c:formatCode>
                <c:ptCount val="5"/>
                <c:pt idx="0">
                  <c:v>58</c:v>
                </c:pt>
                <c:pt idx="1">
                  <c:v>269</c:v>
                </c:pt>
                <c:pt idx="2">
                  <c:v>0</c:v>
                </c:pt>
                <c:pt idx="3">
                  <c:v>18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'Лист1'!$D$1</c:f>
              <c:strCache>
                <c:ptCount val="1"/>
                <c:pt idx="0">
                  <c:v xml:space="preserve">3 квартал 2022 год</c:v>
                </c:pt>
              </c:strCache>
            </c:strRef>
          </c:tx>
          <c:invertIfNegative val="0"/>
          <c:dLbls>
            <c:showBubbleSize val="0"/>
            <c:showCatName val="0"/>
            <c:showLeaderLines val="0"/>
            <c:showLegendKey val="0"/>
            <c:showPercent val="0"/>
            <c:showSerName val="0"/>
            <c:showVal val="1"/>
            <c:spPr bwMode="auto">
              <a:prstGeom prst="rect">
                <a:avLst/>
              </a:prstGeom>
              <a:noFill/>
              <a:ln>
                <a:noFill/>
              </a:ln>
              <a:effectLst/>
            </c:spPr>
          </c:dLbls>
          <c:cat>
            <c:strRef>
              <c:f>'Лист1'!$A$2:$A$6</c:f>
              <c:strCache>
                <c:ptCount val="5"/>
                <c:pt idx="0">
                  <c:v>заявление</c:v>
                </c:pt>
                <c:pt idx="1">
                  <c:v>жалобы</c:v>
                </c:pt>
                <c:pt idx="2">
                  <c:v>предложения</c:v>
                </c:pt>
                <c:pt idx="3">
                  <c:v>запросы</c:v>
                </c:pt>
                <c:pt idx="4">
                  <c:v>смс-сообщения</c:v>
                </c:pt>
              </c:strCache>
            </c:strRef>
          </c:cat>
          <c:val>
            <c:numRef>
              <c:f>'Лист1'!$D$2:$D$6</c:f>
              <c:numCache>
                <c:formatCode>General</c:formatCode>
                <c:ptCount val="5"/>
                <c:pt idx="0">
                  <c:v>81</c:v>
                </c:pt>
                <c:pt idx="1">
                  <c:v>176</c:v>
                </c:pt>
                <c:pt idx="2">
                  <c:v>1</c:v>
                </c:pt>
                <c:pt idx="3">
                  <c:v>15</c:v>
                </c:pt>
                <c:pt idx="4">
                  <c:v>3</c:v>
                </c:pt>
              </c:numCache>
            </c:numRef>
          </c:val>
        </c:ser>
        <c:ser>
          <c:idx val="3"/>
          <c:order val="3"/>
          <c:tx>
            <c:strRef>
              <c:f>'Лист1'!$E$1</c:f>
              <c:strCache>
                <c:ptCount val="1"/>
                <c:pt idx="0">
                  <c:v xml:space="preserve">1 квартал 2022 год2</c:v>
                </c:pt>
              </c:strCache>
            </c:strRef>
          </c:tx>
          <c:invertIfNegative val="0"/>
          <c:dLbls>
            <c:showBubbleSize val="0"/>
            <c:showCatName val="0"/>
            <c:showLeaderLines val="0"/>
            <c:showLegendKey val="0"/>
            <c:showPercent val="0"/>
            <c:showSerName val="0"/>
            <c:showVal val="1"/>
            <c:spPr bwMode="auto">
              <a:prstGeom prst="rect">
                <a:avLst/>
              </a:prstGeom>
              <a:noFill/>
              <a:ln>
                <a:noFill/>
              </a:ln>
              <a:effectLst/>
            </c:spPr>
          </c:dLbls>
          <c:cat>
            <c:strRef>
              <c:f>'Лист1'!$A$2:$A$6</c:f>
              <c:strCache>
                <c:ptCount val="5"/>
                <c:pt idx="0">
                  <c:v>заявление</c:v>
                </c:pt>
                <c:pt idx="1">
                  <c:v>жалобы</c:v>
                </c:pt>
                <c:pt idx="2">
                  <c:v>предложения</c:v>
                </c:pt>
                <c:pt idx="3">
                  <c:v>запросы</c:v>
                </c:pt>
                <c:pt idx="4">
                  <c:v>смс-сообщения</c:v>
                </c:pt>
              </c:strCache>
            </c:strRef>
          </c:cat>
          <c:val>
            <c:numRef>
              <c:f>'Лист1'!$E$2:$E$6</c:f>
              <c:numCache>
                <c:formatCode>General</c:formatCode>
                <c:ptCount val="5"/>
              </c:numCache>
            </c:numRef>
          </c:val>
        </c:ser>
        <c:dLbls>
          <c:showBubbleSize val="0"/>
          <c:showCatName val="0"/>
          <c:showLeaderLines val="0"/>
          <c:showLegendKey val="0"/>
          <c:showPercent val="0"/>
          <c:showSerName val="0"/>
          <c:showVal val="1"/>
        </c:dLbls>
        <c:gapWidth val="150"/>
        <c:shape val="cylinder"/>
        <c:axId val="86313600"/>
        <c:axId val="86335872"/>
      </c:bar3DChart>
      <c:catAx>
        <c:axId val="8631360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crossAx val="86335872"/>
        <c:crosses val="autoZero"/>
        <c:auto val="1"/>
        <c:lblAlgn val="ctr"/>
        <c:lblOffset val="100"/>
        <c:noMultiLvlLbl val="0"/>
      </c:catAx>
      <c:valAx>
        <c:axId val="86335872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one"/>
        <c:crossAx val="86313600"/>
        <c:crosses val="autoZero"/>
        <c:crossBetween val="between"/>
      </c:valAx>
    </c:plotArea>
    <c:legend>
      <c:legendPos val="t"/>
      <c:legendEntry>
        <c:idx val="3"/>
        <c:delete val="1"/>
      </c:legendEntry>
      <c:layout/>
      <c:overlay val="0"/>
    </c:legend>
    <c:plotVisOnly val="1"/>
    <c:dispBlanksAs val="gap"/>
    <c:showDLblsOverMax val="0"/>
  </c:chart>
  <c:spPr bwMode="auto">
    <a:xfrm>
      <a:off x="0" y="0"/>
      <a:ext cx="6857995" cy="3924295"/>
    </a:xfrm>
  </c:sp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91">
  <cs:axisTitle>
    <cs:lnRef idx="0"/>
    <cs:fillRef idx="0"/>
    <cs:effectRef idx="0"/>
    <cs:fontRef idx="minor">
      <a:schemeClr val="lt1">
        <a:lumMod val="75000"/>
      </a:schemeClr>
    </cs:fontRef>
    <cs:defRPr sz="900"/>
  </cs:axisTitle>
  <cs:categoryAxis>
    <cs:lnRef idx="0"/>
    <cs:fillRef idx="0"/>
    <cs:effectRef idx="0"/>
    <cs:fontRef idx="minor">
      <a:schemeClr val="lt1">
        <a:lumMod val="75000"/>
      </a:schemeClr>
    </cs:fontRef>
    <cs:defRPr sz="900"/>
  </cs:categoryAxis>
  <cs:chartArea>
    <cs:lnRef idx="0"/>
    <cs:fillRef idx="0"/>
    <cs:effectRef idx="0"/>
    <cs:fontRef idx="minor">
      <a:schemeClr val="lt1"/>
    </cs:fontRef>
    <cs:spPr bwMode="auto">
      <a:prstGeom prst="rect">
        <a:avLst/>
      </a:prstGeom>
      <a:solidFill>
        <a:schemeClr val="dk1">
          <a:lumMod val="75000"/>
          <a:lumOff val="25000"/>
        </a:schemeClr>
      </a:solidFill>
      <a:ln w="6350" cap="flat" cmpd="sng" algn="ctr">
        <a:solidFill>
          <a:schemeClr val="dk1">
            <a:tint val="75000"/>
          </a:schemeClr>
        </a:solidFill>
        <a:round/>
      </a:ln>
    </cs:spPr>
    <cs:defRPr sz="1000"/>
  </cs:chartArea>
  <cs:dataLabel>
    <cs:lnRef idx="0"/>
    <cs:fillRef idx="0">
      <cs:styleClr val="auto"/>
    </cs:fillRef>
    <cs:effectRef idx="0"/>
    <cs:fontRef idx="minor">
      <a:schemeClr val="lt1"/>
    </cs:fontRef>
    <cs:spPr bwMode="auto">
      <a:prstGeom prst="rect">
        <a:avLst/>
      </a:prstGeom>
      <a:solidFill>
        <a:schemeClr val="phClr">
          <a:alpha val="30000"/>
        </a:schemeClr>
      </a:solidFill>
      <a:ln>
        <a:solidFill>
          <a:schemeClr val="lt1">
            <a:alpha val="50000"/>
          </a:schemeClr>
        </a:solidFill>
        <a:round/>
      </a:ln>
      <a:effectLst>
        <a:outerShdw blurRad="63500" dist="88900" dir="2700000" rotWithShape="0">
          <a:prstClr val="black">
            <a:alpha val="40000"/>
          </a:prstClr>
        </a:outerShdw>
      </a:effectLst>
    </cs:spPr>
    <cs:defRPr sz="900" b="1" i="0" u="none" strike="noStrike"/>
  </cs:dataLabel>
  <cs:dataPoint>
    <cs:lnRef idx="0">
      <cs:styleClr val="auto"/>
    </cs:lnRef>
    <cs:fillRef idx="0">
      <cs:styleClr val="auto"/>
    </cs:fillRef>
    <cs:effectRef idx="0"/>
    <cs:fontRef idx="minor">
      <a:schemeClr val="tx1"/>
    </cs:fontRef>
    <cs:spPr bwMode="auto">
      <a:prstGeom prst="rect">
        <a:avLst/>
      </a:prstGeom>
      <a:solidFill>
        <a:schemeClr val="phClr">
          <a:alpha val="88000"/>
        </a:schemeClr>
      </a:solidFill>
      <a:ln>
        <a:solidFill>
          <a:schemeClr val="phClr">
            <a:lumMod val="50000"/>
          </a:schemeClr>
        </a:solidFill>
      </a:ln>
    </cs:spPr>
  </cs:dataPoint>
  <cs:dataPoint3D>
    <cs:lnRef idx="0">
      <cs:styleClr val="auto"/>
    </cs:lnRef>
    <cs:fillRef idx="0">
      <cs:styleClr val="auto"/>
    </cs:fillRef>
    <cs:effectRef idx="0"/>
    <cs:fontRef idx="minor">
      <a:schemeClr val="tx1"/>
    </cs:fontRef>
    <cs:spPr bwMode="auto">
      <a:prstGeom prst="rect">
        <a:avLst/>
      </a:prstGeom>
      <a:solidFill>
        <a:schemeClr val="phClr">
          <a:alpha val="88000"/>
        </a:schemeClr>
      </a:solidFill>
      <a:ln>
        <a:solidFill>
          <a:schemeClr val="phClr">
            <a:lumMod val="50000"/>
          </a:schemeClr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 bwMode="auto">
      <a:prstGeom prst="rect">
        <a:avLst/>
      </a:prstGeom>
      <a:ln w="28575" cap="rnd">
        <a:solidFill>
          <a:schemeClr val="phClr"/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tx1"/>
    </cs:fontRef>
    <cs:spPr bwMode="auto">
      <a:prstGeom prst="rect">
        <a:avLst/>
      </a:prstGeom>
      <a:solidFill>
        <a:schemeClr val="phClr"/>
      </a:solidFill>
      <a:ln w="9525">
        <a:solidFill>
          <a:schemeClr val="dk1">
            <a:lumMod val="75000"/>
            <a:lumOff val="25000"/>
          </a:schemeClr>
        </a:solidFill>
      </a:ln>
    </cs:spPr>
  </cs:dataPointMarker>
  <cs:dataPointWireframe>
    <cs:lnRef idx="0">
      <cs:styleClr val="auto"/>
    </cs:lnRef>
    <cs:fillRef idx="0"/>
    <cs:effectRef idx="0"/>
    <cs:fontRef idx="minor">
      <a:schemeClr val="tx1"/>
    </cs:fontRef>
    <cs:spPr bwMode="auto">
      <a:prstGeom prst="rect">
        <a:avLst/>
      </a:prstGeom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lt1">
        <a:lumMod val="75000"/>
      </a:schemeClr>
    </cs:fontRef>
    <cs:spPr bwMode="auto">
      <a:prstGeom prst="rect">
        <a:avLst/>
      </a:prstGeom>
      <a:ln w="9525">
        <a:solidFill>
          <a:schemeClr val="dk1">
            <a:lumMod val="50000"/>
            <a:lumOff val="50000"/>
          </a:schemeClr>
        </a:solidFill>
      </a:ln>
    </cs:spPr>
    <cs:defRPr sz="900"/>
  </cs:dataTable>
  <cs:downBar>
    <cs:lnRef idx="0"/>
    <cs:fillRef idx="0"/>
    <cs:effectRef idx="0"/>
    <cs:fontRef idx="minor">
      <a:schemeClr val="lt1"/>
    </cs:fontRef>
    <cs:spPr bwMode="auto">
      <a:prstGeom prst="rect">
        <a:avLst/>
      </a:prstGeom>
      <a:solidFill>
        <a:schemeClr val="dk1">
          <a:lumMod val="50000"/>
          <a:lumOff val="50000"/>
        </a:schemeClr>
      </a:solidFill>
      <a:ln w="9525">
        <a:solidFill>
          <a:schemeClr val="dk1">
            <a:lumMod val="75000"/>
          </a:schemeClr>
        </a:solidFill>
        <a:round/>
      </a:ln>
    </cs:spPr>
  </cs:downBar>
  <cs:dropLine>
    <cs:lnRef idx="0"/>
    <cs:fillRef idx="0"/>
    <cs:effectRef idx="0"/>
    <cs:fontRef idx="minor">
      <a:schemeClr val="dk1"/>
    </cs:fontRef>
    <cs:spPr bwMode="auto">
      <a:prstGeom prst="rect">
        <a:avLst/>
      </a:prstGeom>
      <a:ln w="9525">
        <a:solidFill>
          <a:schemeClr val="lt1">
            <a:lumMod val="50000"/>
          </a:schemeClr>
        </a:solidFill>
        <a:round/>
      </a:ln>
    </cs:spPr>
  </cs:dropLine>
  <cs:errorBar>
    <cs:lnRef idx="0"/>
    <cs:fillRef idx="0"/>
    <cs:effectRef idx="0"/>
    <cs:fontRef idx="minor">
      <a:schemeClr val="dk1"/>
    </cs:fontRef>
    <cs:spPr bwMode="auto">
      <a:prstGeom prst="rect">
        <a:avLst/>
      </a:prstGeom>
      <a:ln w="9525">
        <a:solidFill>
          <a:schemeClr val="lt1">
            <a:lumMod val="50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 bwMode="auto">
      <a:prstGeom prst="rect">
        <a:avLst/>
      </a:prstGeom>
      <a:solidFill>
        <a:schemeClr val="bg2">
          <a:lumMod val="75000"/>
          <a:alpha val="26998"/>
        </a:schemeClr>
      </a:solidFill>
    </cs:spPr>
  </cs:floor>
  <cs:gridlineMajor>
    <cs:lnRef idx="0"/>
    <cs:fillRef idx="0"/>
    <cs:effectRef idx="0"/>
    <cs:fontRef idx="minor">
      <a:schemeClr val="tx1"/>
    </cs:fontRef>
    <cs:spPr bwMode="auto">
      <a:prstGeom prst="rect">
        <a:avLst/>
      </a:prstGeom>
      <a:ln w="9525">
        <a:solidFill>
          <a:schemeClr val="lt1">
            <a:lumMod val="50000"/>
          </a:schemeClr>
        </a:solidFill>
      </a:ln>
    </cs:spPr>
  </cs:gridlineMajor>
  <cs:gridlineMinor>
    <cs:lnRef idx="0"/>
    <cs:fillRef idx="0"/>
    <cs:effectRef idx="0"/>
    <cs:fontRef idx="minor">
      <a:schemeClr val="tx1"/>
    </cs:fontRef>
    <cs:spPr bwMode="auto">
      <a:prstGeom prst="rect">
        <a:avLst/>
      </a:prstGeom>
      <a:ln w="9525">
        <a:solidFill>
          <a:schemeClr val="lt1">
            <a:lumMod val="40000"/>
          </a:schemeClr>
        </a:solidFill>
      </a:ln>
    </cs:spPr>
  </cs:gridlineMinor>
  <cs:hiLoLine>
    <cs:lnRef idx="0"/>
    <cs:fillRef idx="0"/>
    <cs:effectRef idx="0"/>
    <cs:fontRef idx="minor">
      <a:schemeClr val="dk1"/>
    </cs:fontRef>
    <cs:spPr bwMode="auto">
      <a:prstGeom prst="rect">
        <a:avLst/>
      </a:prstGeom>
      <a:ln w="9525">
        <a:solidFill>
          <a:schemeClr val="lt1">
            <a:lumMod val="50000"/>
          </a:schemeClr>
        </a:solidFill>
        <a:round/>
      </a:ln>
    </cs:spPr>
  </cs:hiLoLine>
  <cs:leaderLine>
    <cs:lnRef idx="0"/>
    <cs:fillRef idx="0"/>
    <cs:effectRef idx="0"/>
    <cs:fontRef idx="minor">
      <a:schemeClr val="dk1"/>
    </cs:fontRef>
    <cs:spPr bwMode="auto">
      <a:prstGeom prst="rect">
        <a:avLst/>
      </a:prstGeom>
      <a:ln w="9525">
        <a:solidFill>
          <a:schemeClr val="lt1">
            <a:lumMod val="50000"/>
          </a:schemeClr>
        </a:solidFill>
        <a:round/>
      </a:ln>
    </cs:spPr>
  </cs:leaderLine>
  <cs:legend>
    <cs:lnRef idx="0"/>
    <cs:fillRef idx="0"/>
    <cs:effectRef idx="0"/>
    <cs:fontRef idx="minor">
      <a:schemeClr val="lt1">
        <a:lumMod val="75000"/>
      </a:schemeClr>
    </cs:fontRef>
    <cs:defRPr sz="900"/>
  </cs:legend>
  <cs:plotArea>
    <cs:lnRef idx="0"/>
    <cs:fillRef idx="0"/>
    <cs:effectRef idx="0"/>
    <cs:fontRef idx="minor">
      <a:schemeClr val="tx1"/>
    </cs:fontRef>
  </cs:plotArea>
  <cs:plotArea3D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lt1">
        <a:lumMod val="75000"/>
      </a:schemeClr>
    </cs:fontRef>
    <cs:defRPr sz="900"/>
  </cs:seriesAxis>
  <cs:seriesLine>
    <cs:lnRef idx="0"/>
    <cs:fillRef idx="0"/>
    <cs:effectRef idx="0"/>
    <cs:fontRef idx="minor">
      <a:schemeClr val="dk1"/>
    </cs:fontRef>
    <cs:spPr bwMode="auto">
      <a:prstGeom prst="rect">
        <a:avLst/>
      </a:prstGeom>
      <a:ln w="9525">
        <a:solidFill>
          <a:schemeClr val="lt1">
            <a:lumMod val="50000"/>
          </a:schemeClr>
        </a:solidFill>
        <a:round/>
      </a:ln>
    </cs:spPr>
  </cs:seriesLine>
  <cs:title>
    <cs:lnRef idx="0"/>
    <cs:fillRef idx="0"/>
    <cs:effectRef idx="0"/>
    <cs:fontRef idx="minor">
      <a:schemeClr val="lt1"/>
    </cs:fontRef>
    <cs:defRPr sz="1800" b="0" cap="all"/>
  </cs:title>
  <cs:trendline>
    <cs:lnRef idx="0">
      <cs:styleClr val="auto"/>
    </cs:lnRef>
    <cs:fillRef idx="0"/>
    <cs:effectRef idx="0"/>
    <cs:fontRef idx="minor">
      <a:schemeClr val="dk1"/>
    </cs:fontRef>
    <cs:spPr bwMode="auto">
      <a:prstGeom prst="rect">
        <a:avLst/>
      </a:prstGeom>
      <a:ln w="9525" cap="rnd">
        <a:solidFill>
          <a:schemeClr val="phClr">
            <a:alpha val="50000"/>
          </a:schemeClr>
        </a:solidFill>
      </a:ln>
    </cs:spPr>
  </cs:trendline>
  <cs:trendlineLabel>
    <cs:lnRef idx="0"/>
    <cs:fillRef idx="0"/>
    <cs:effectRef idx="0"/>
    <cs:fontRef idx="minor">
      <a:schemeClr val="lt1">
        <a:lumMod val="75000"/>
      </a:schemeClr>
    </cs:fontRef>
    <cs:defRPr sz="900"/>
  </cs:trendlineLabel>
  <cs:upBar>
    <cs:lnRef idx="0"/>
    <cs:fillRef idx="0"/>
    <cs:effectRef idx="0"/>
    <cs:fontRef idx="minor">
      <a:schemeClr val="dk1"/>
    </cs:fontRef>
    <cs:spPr bwMode="auto">
      <a:prstGeom prst="rect">
        <a:avLst/>
      </a:prstGeom>
      <a:solidFill>
        <a:schemeClr val="lt1">
          <a:lumMod val="85000"/>
        </a:schemeClr>
      </a:solidFill>
      <a:ln w="9525">
        <a:solidFill>
          <a:schemeClr val="dk1">
            <a:lumMod val="50000"/>
          </a:schemeClr>
        </a:solidFill>
        <a:round/>
      </a:ln>
    </cs:spPr>
  </cs:upBar>
  <cs:valueAxis>
    <cs:lnRef idx="0"/>
    <cs:fillRef idx="0"/>
    <cs:effectRef idx="0"/>
    <cs:fontRef idx="minor">
      <a:schemeClr val="lt1">
        <a:lumMod val="75000"/>
      </a:schemeClr>
    </cs:fontRef>
    <cs:defRPr sz="900"/>
  </cs:valueAxis>
  <cs:wall>
    <cs:lnRef idx="0"/>
    <cs:fillRef idx="0"/>
    <cs:effectRef idx="0"/>
    <cs:fontRef idx="minor">
      <a:schemeClr val="tx1"/>
    </cs:fontRef>
    <cs:spPr bwMode="auto"/>
  </cs:wall>
  <cs:dataPointMarkerLayout symbol="circle" size="6"/>
</cs:chartStyle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138079-9E99-4A01-AF18-3AC5EF380E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Р7-Офис/7.3.3.0</Application>
  <Company>АГНОиПНО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Тимофеева Ольга Евгеньевна</dc:creator>
  <cp:keywords/>
  <dc:description/>
  <cp:revision>38</cp:revision>
  <dcterms:created xsi:type="dcterms:W3CDTF">2022-10-04T03:14:00Z</dcterms:created>
  <dcterms:modified xsi:type="dcterms:W3CDTF">2023-10-03T12:59:38Z</dcterms:modified>
</cp:coreProperties>
</file>