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6"/>
        <w:shd w:val="clear" w:color="auto" w:fill="ffffff"/>
        <w:tabs>
          <w:tab w:val="left" w:pos="0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Информационно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статистический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обзор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обращений,</w:t>
      </w:r>
      <w:r/>
    </w:p>
    <w:p>
      <w:pPr>
        <w:jc w:val="center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рассмотренных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-ом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запросов информации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и обращений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Новосибирской области, а также результатов рассмотрения обращений и принятых мер</w:t>
      </w:r>
      <w:r/>
    </w:p>
    <w:p>
      <w:pPr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Рассмотрение письменных и 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чных обращений, устных обращений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нистерства 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Минтранса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в форме электронного документа на официальный сайт министерства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либо на электронную почту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транспорта и дорожного хозяйства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лицом его замещающим.</w:t>
      </w:r>
      <w:r/>
    </w:p>
    <w:p>
      <w:pPr>
        <w:ind w:firstLine="720"/>
        <w:jc w:val="both"/>
        <w:spacing w:line="276" w:lineRule="auto"/>
        <w:rPr>
          <w:rStyle w:val="819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 транспорта и 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осибирской области поступило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- 373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ых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 коллективных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обращений, включая обращения объединений граждан, в том числе юридических лиц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данном квартале уменьшилось в сравнении с третьим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на 5% (на 33 обращения), с четвертым кварталом прошлого года увеличилось на 73% (на 274 обращения).</w:t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ind w:firstLine="720"/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6003228" cy="2401289"/>
            <wp:effectExtent l="4762" t="4762" r="4762" b="4762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bCs/>
          <w:color w:val="ff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709" w:right="992" w:bottom="284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>
          <w:footnotePr/>
          <w:endnotePr/>
          <w:type w:val="continuous"/>
          <w:pgSz w:w="11906" w:h="16838" w:orient="portrait"/>
          <w:pgMar w:top="709" w:right="993" w:bottom="284" w:left="851" w:header="708" w:footer="708" w:gutter="0"/>
          <w:cols w:num="3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218,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показывает,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наибольшее количество поступивших обращений из общественной приемной Губернатора составило в третьем квартале 2023 года. В сравнении с четвертым кварталом текущего года больше на 30% (на 66 обращений). Относительно четвертого квартала 2022 года в последние три месяца текущего года количество обращений  увеличилось на 103 % (на 77 обращений).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епосредственно в министерство,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квартале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462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298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 квартале 2023 года увеличилось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третьим кварталом на 7% (на 33 обращения), с четвертым кварталом прошлого года на 66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197 обращений).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86494" cy="3133720"/>
            <wp:effectExtent l="4762" t="4762" r="4762" b="47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677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исьменных обращений, 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317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письменных обращений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уменьшилось в сравнении с третьим кварталом текущего года на 18% (на 121 обращение), с четвертым кварталом прошлого года увеличилось на 75% (на 239 обращений).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четвертом квартале 2023 года было зарегистрировано 353 заявления, в третьем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20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3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-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119 заявлений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четвертом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202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- 113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й.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данном квартале увеличи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лось в сравнении с третьим кварталом на 197% (на 234 заявление), с прошлым годом четвертого квартала на 212 % (на 240 заявлений).</w:t>
      </w:r>
      <w:r/>
    </w:p>
    <w:p>
      <w:pPr>
        <w:jc w:val="both"/>
        <w:spacing w:line="276" w:lineRule="auto"/>
        <w:tabs>
          <w:tab w:val="left" w:pos="8760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 квартале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 было зарегистрировано 5 устных обращений. В третьем квартале 2023 года устных обращений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поступило 2 таких обращения.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 был принят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гражданин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было принято 4 гражданина.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37061" cy="3524609"/>
            <wp:effectExtent l="3175" t="3175" r="3175" b="3175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r>
      <w:r/>
    </w:p>
    <w:p>
      <w:pPr>
        <w:jc w:val="both"/>
        <w:spacing w:before="2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третьем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2023 года,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 не было зарегистрировано ни одного обращения.</w:t>
      </w:r>
      <w:r/>
    </w:p>
    <w:p>
      <w:pPr>
        <w:jc w:val="both"/>
        <w:spacing w:before="2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122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299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- 171 жалоба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третьим кварталом текущего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уменьшилось на 59 % (на 177 жалоб), с четвертым кварталом прошлого года уменьшилось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29 % (на 49 жалоб).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запросов,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- 44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 квартале 2023 года поступило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смс-обращени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в третьем квартале 2023 года поступило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ртале прошлого года поступило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смс-сообщени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 квартале текущего года поступило 2 предложения.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 квартале 2023 года и четвертом квартале 2022 года предложений от граждан не поступало.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57993" cy="3924293"/>
            <wp:effectExtent l="4762" t="4762" r="4762" b="4762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направлены ответы 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02.05.2006 № 59-ФЗ «О порядке рассмотрения обращений граждан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проведению личного приема граждан в 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нистерстве транспорта и 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12.04.2017 № 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явителям даны письменные ответы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  <w:r/>
    </w:p>
    <w:p>
      <w:pPr>
        <w:jc w:val="both"/>
        <w:spacing w:line="276" w:lineRule="auto"/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 работы с обращениями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граждан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позволила в четвертом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квартале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обеспечить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объективное и всестороннее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ассмотрение обращений граждан,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sectPr>
      <w:footnotePr/>
      <w:endnotePr/>
      <w:type w:val="continuous"/>
      <w:pgSz w:w="11906" w:h="16838" w:orient="portrait"/>
      <w:pgMar w:top="709" w:right="993" w:bottom="28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4"/>
    <w:next w:val="814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5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4"/>
    <w:next w:val="814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5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5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5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5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5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5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5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4"/>
    <w:next w:val="814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5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4"/>
    <w:next w:val="814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5"/>
    <w:link w:val="659"/>
    <w:uiPriority w:val="10"/>
    <w:rPr>
      <w:sz w:val="48"/>
      <w:szCs w:val="48"/>
    </w:rPr>
  </w:style>
  <w:style w:type="paragraph" w:styleId="661">
    <w:name w:val="Subtitle"/>
    <w:basedOn w:val="814"/>
    <w:next w:val="814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5"/>
    <w:link w:val="661"/>
    <w:uiPriority w:val="11"/>
    <w:rPr>
      <w:sz w:val="24"/>
      <w:szCs w:val="24"/>
    </w:rPr>
  </w:style>
  <w:style w:type="paragraph" w:styleId="663">
    <w:name w:val="Quote"/>
    <w:basedOn w:val="814"/>
    <w:next w:val="814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4"/>
    <w:next w:val="814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character" w:styleId="667">
    <w:name w:val="Header Char"/>
    <w:basedOn w:val="815"/>
    <w:link w:val="823"/>
    <w:uiPriority w:val="99"/>
  </w:style>
  <w:style w:type="character" w:styleId="668">
    <w:name w:val="Footer Char"/>
    <w:basedOn w:val="815"/>
    <w:link w:val="825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825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>
    <w:name w:val="Strong"/>
    <w:basedOn w:val="815"/>
    <w:uiPriority w:val="22"/>
    <w:qFormat/>
    <w:rPr>
      <w:rFonts w:cs="Times New Roman"/>
      <w:b/>
    </w:rPr>
  </w:style>
  <w:style w:type="paragraph" w:styleId="820">
    <w:name w:val="Balloon Text"/>
    <w:basedOn w:val="814"/>
    <w:link w:val="821"/>
    <w:uiPriority w:val="99"/>
    <w:semiHidden/>
    <w:unhideWhenUsed/>
    <w:rPr>
      <w:rFonts w:ascii="Tahoma" w:hAnsi="Tahoma" w:cs="Tahoma"/>
      <w:sz w:val="16"/>
      <w:szCs w:val="16"/>
    </w:rPr>
  </w:style>
  <w:style w:type="character" w:styleId="821" w:customStyle="1">
    <w:name w:val="Текст выноски Знак"/>
    <w:basedOn w:val="815"/>
    <w:link w:val="820"/>
    <w:uiPriority w:val="99"/>
    <w:semiHidden/>
    <w:rPr>
      <w:rFonts w:ascii="Tahoma" w:hAnsi="Tahoma" w:cs="Tahoma"/>
      <w:sz w:val="16"/>
      <w:szCs w:val="16"/>
    </w:rPr>
  </w:style>
  <w:style w:type="table" w:styleId="822">
    <w:name w:val="Table Grid"/>
    <w:basedOn w:val="8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3">
    <w:name w:val="Header"/>
    <w:basedOn w:val="814"/>
    <w:link w:val="8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4" w:customStyle="1">
    <w:name w:val="Верхний колонтитул Знак"/>
    <w:basedOn w:val="815"/>
    <w:link w:val="823"/>
    <w:uiPriority w:val="99"/>
    <w:rPr>
      <w:rFonts w:ascii="Calibri" w:hAnsi="Calibri" w:cs="Calibri"/>
    </w:rPr>
  </w:style>
  <w:style w:type="paragraph" w:styleId="825">
    <w:name w:val="Footer"/>
    <w:basedOn w:val="814"/>
    <w:link w:val="8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6" w:customStyle="1">
    <w:name w:val="Нижний колонтитул Знак"/>
    <w:basedOn w:val="815"/>
    <w:link w:val="825"/>
    <w:uiPriority w:val="99"/>
    <w:rPr>
      <w:rFonts w:ascii="Calibri" w:hAnsi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Relationship Id="rId13" Type="http://schemas.openxmlformats.org/officeDocument/2006/relationships/chart" Target="charts/chart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3.xlsx" /></Relationships>
</file>

<file path=word/charts/_rels/chart4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4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/>
              <a:t> четвертом квартале</a:t>
            </a:r>
            <a:r>
              <a:rPr lang="ru-RU" sz="1200"/>
              <a:t> 2023 года в сравнении с третьим</a:t>
            </a:r>
            <a:r>
              <a:rPr lang="ru-RU" sz="1200"/>
              <a:t>  кварталом </a:t>
            </a:r>
            <a:r>
              <a:rPr lang="ru-RU" sz="1200"/>
              <a:t> 2023</a:t>
            </a:r>
            <a:r>
              <a:rPr lang="ru-RU" sz="1200"/>
              <a:t> года  </a:t>
            </a:r>
            <a:endParaRPr/>
          </a:p>
          <a:p>
            <a:pPr>
              <a:defRPr/>
            </a:pPr>
            <a:r>
              <a:rPr lang="ru-RU" sz="1200"/>
              <a:t>и четвертым кварталом 2022 года  </a:t>
            </a:r>
            <a:endParaRPr/>
          </a:p>
        </c:rich>
      </c:tx>
      <c:layout>
        <c:manualLayout>
          <c:xMode val="edge"/>
          <c:yMode val="edge"/>
          <c:x val="0.12651000000000001"/>
          <c:y val="0.037010000000000001"/>
        </c:manualLayout>
      </c:layout>
      <c:overlay val="0"/>
    </c:title>
    <c:autoTitleDeleted val="0"/>
    <c:view3D>
      <c:rotX val="3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Количество поступивших обращений</c:v>
                </c:pt>
              </c:strCache>
            </c:strRef>
          </c:tx>
          <c:dLbls>
            <c:dLblPos val="ctr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4"/>
                <c:pt idx="1">
                  <c:v xml:space="preserve">4 квартал 2023 года</c:v>
                </c:pt>
                <c:pt idx="2">
                  <c:v xml:space="preserve">3 квартал 2023 года</c:v>
                </c:pt>
                <c:pt idx="3">
                  <c:v xml:space="preserve">4 квартал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647</c:v>
                </c:pt>
                <c:pt idx="2">
                  <c:v>680</c:v>
                </c:pt>
                <c:pt idx="3">
                  <c:v>373</c:v>
                </c:pt>
              </c:numCache>
            </c:numRef>
          </c:val>
        </c:ser>
        <c:dLbls>
          <c:dLblPos val="ctr"/>
          <c:showBubbleSize val="0"/>
          <c:showCatName val="0"/>
          <c:showLeaderLines val="0"/>
          <c:showLegendKey val="0"/>
          <c:showPercent val="0"/>
          <c:showSerName val="0"/>
          <c:showVal val="0"/>
        </c:dLbls>
      </c:pie3DChart>
    </c:plotArea>
    <c:legend>
      <c:legendPos val="t"/>
      <c:legendEntry>
        <c:idx val="0"/>
        <c:delete val="1"/>
      </c:legendEntry>
      <c:layout>
        <c:manualLayout>
          <c:x val="-0.0079299999999999995"/>
          <c:y val="0"/>
        </c:manualLayout>
      </c:layout>
      <c:overlay val="0"/>
    </c:legend>
    <c:plotVisOnly val="1"/>
    <c:dispBlanksAs val="gap"/>
    <c:showDLblsOverMax val="0"/>
  </c:chart>
  <c:spPr bwMode="auto">
    <a:xfrm>
      <a:off x="0" y="0"/>
      <a:ext cx="6003227" cy="2401288"/>
    </a:xfrm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/>
              <a:t> обращений поступивших в адрес Минтранса НСО в четвертом квартале 2023 года, в сравнении  с третьим  кварталом  2023 года и четвертым кварталом 2022 года</a:t>
            </a:r>
            <a:endParaRPr lang="ru-RU" sz="1200"/>
          </a:p>
        </c:rich>
      </c:tx>
      <c:layout>
        <c:manualLayout>
          <c:xMode val="edge"/>
          <c:yMode val="edge"/>
          <c:x val="0.13428999999999999"/>
          <c:y val="0.017250000000000001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4 квартал 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 xml:space="preserve">общественная приемная</c:v>
                </c:pt>
                <c:pt idx="2">
                  <c:v xml:space="preserve"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152</c:v>
                </c:pt>
                <c:pt idx="2">
                  <c:v>495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3 квартал 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 xml:space="preserve">общественная приемная</c:v>
                </c:pt>
                <c:pt idx="2">
                  <c:v xml:space="preserve"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218</c:v>
                </c:pt>
                <c:pt idx="2">
                  <c:v>462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4 квартал 2022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 xml:space="preserve">общественная приемная</c:v>
                </c:pt>
                <c:pt idx="2">
                  <c:v xml:space="preserve"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298</c:v>
                </c:pt>
                <c:pt idx="2">
                  <c:v>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 xml:space="preserve">общественная приемная</c:v>
                </c:pt>
                <c:pt idx="2">
                  <c:v xml:space="preserve">непосредственно в министерство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95"/>
        <c:gapDepth val="95"/>
        <c:shape val="cylinder"/>
        <c:axId val="73373184"/>
        <c:axId val="73374720"/>
      </c:bar3DChart>
      <c:catAx>
        <c:axId val="73373184"/>
        <c:scaling>
          <c:orientation val="minMax"/>
        </c:scaling>
        <c:delete val="0"/>
        <c:axPos val="l"/>
        <c:majorGridlines>
          <c:spPr bwMode="auto"/>
        </c:majorGridlines>
        <c:minorGridlines>
          <c:spPr bwMode="auto"/>
        </c:minorGridlines>
        <c:numFmt formatCode="General" sourceLinked="0"/>
        <c:majorTickMark val="none"/>
        <c:minorTickMark val="none"/>
        <c:tickLblPos val="nextTo"/>
        <c:crossAx val="73374720"/>
        <c:crosses val="autoZero"/>
        <c:auto val="1"/>
        <c:lblAlgn val="ctr"/>
        <c:lblOffset val="100"/>
        <c:noMultiLvlLbl val="0"/>
      </c:catAx>
      <c:valAx>
        <c:axId val="73374720"/>
        <c:scaling>
          <c:orientation val="minMax"/>
        </c:scaling>
        <c:delete val="1"/>
        <c:axPos val="b"/>
        <c:majorGridlines>
          <c:spPr bwMode="auto"/>
        </c:majorGridlines>
        <c:minorGridlines>
          <c:spPr bwMode="auto"/>
        </c:minorGridlines>
        <c:numFmt formatCode="General" sourceLinked="1"/>
        <c:majorTickMark val="out"/>
        <c:minorTickMark val="none"/>
        <c:tickLblPos val="none"/>
        <c:crossAx val="73373184"/>
        <c:crosses val="autoZero"/>
        <c:crossBetween val="between"/>
      </c:valAx>
      <c:spPr bwMode="auto">
        <a:prstGeom prst="rect">
          <a:avLst/>
        </a:prstGeom>
        <a:noFill/>
        <a:ln w="25400">
          <a:noFill/>
        </a:ln>
      </c:spPr>
    </c:plotArea>
    <c:legend>
      <c:legendPos val="t"/>
      <c:legendEntry>
        <c:idx val="3"/>
        <c:delete val="1"/>
      </c:legendEntry>
      <c:layout/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6286493" cy="3133719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/>
              <a:t> поступивших обращений в четвертом квартале 2023 года в сравнении с третьим кварталом 2023 года и с</a:t>
            </a:r>
            <a:endParaRPr lang="ru-RU" sz="1200"/>
          </a:p>
          <a:p>
            <a:pPr>
              <a:defRPr/>
            </a:pPr>
            <a:r>
              <a:rPr lang="ru-RU" sz="1200"/>
              <a:t>четвертом кварталом 2022 года</a:t>
            </a:r>
            <a:r>
              <a:rPr lang="ru-RU"/>
              <a:t> </a:t>
            </a:r>
            <a:endParaRPr lang="ru-RU"/>
          </a:p>
        </c:rich>
      </c:tx>
      <c:layout>
        <c:manualLayout>
          <c:xMode val="edge"/>
          <c:yMode val="edge"/>
          <c:x val="0.124"/>
          <c:y val="0.022030000000000001"/>
        </c:manualLayout>
      </c:layout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800" b="0" cap="all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 bwMode="auto">
        <a:prstGeom prst="rect">
          <a:avLst/>
        </a:prstGeom>
        <a:noFill/>
        <a:ln>
          <a:noFill/>
        </a:ln>
      </c:spPr>
    </c:floor>
    <c:sideWall>
      <c:thickness val="0"/>
      <c:spPr bwMode="auto">
        <a:prstGeom prst="rect">
          <a:avLst/>
        </a:prstGeom>
        <a:noFill/>
        <a:ln>
          <a:noFill/>
        </a:ln>
      </c:spPr>
    </c:sideWall>
    <c:backWall>
      <c:thickness val="0"/>
      <c:spPr bwMode="auto"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5616"/>
          <c:y val="0.1958"/>
          <c:w val="0.72994000000000003"/>
          <c:h val="0.53822000000000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4 квартал 2023 год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 xml:space="preserve">электронная почта</c:v>
                </c:pt>
                <c:pt idx="3">
                  <c:v xml:space="preserve"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556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3 квартал 2023 год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 xml:space="preserve">электронная почта</c:v>
                </c:pt>
                <c:pt idx="3">
                  <c:v xml:space="preserve"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677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4 квартал 2022 года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/>
              </a:p>
            </c:txPr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 xml:space="preserve">электронная почта</c:v>
                </c:pt>
                <c:pt idx="3">
                  <c:v xml:space="preserve"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317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  <c:spPr bwMode="auto">
            <a:prstGeom prst="rect">
              <a:avLst/>
            </a:prstGeom>
            <a:solidFill>
              <a:schemeClr val="accent1">
                <a:alpha val="30000"/>
              </a:schemeClr>
            </a:solidFill>
            <a:ln>
              <a:solidFill>
                <a:schemeClr val="lt1">
                  <a:alpha val="50000"/>
                </a:schemeClr>
              </a:solidFill>
              <a:round/>
            </a:ln>
          </c:spPr>
          <c:txPr>
            <a:bodyPr/>
            <a:p>
              <a:pPr>
                <a:defRPr sz="900" b="1" i="0" u="none" strike="noStrike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/>
            </a:p>
          </c:txPr>
        </c:dLbls>
        <c:gapWidth val="84"/>
        <c:gapDepth val="53"/>
        <c:shape val="cone"/>
        <c:axId val="86335891"/>
        <c:axId val="86335892"/>
      </c:bar3DChart>
      <c:catAx>
        <c:axId val="863358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lt1">
                    <a:lumMod val="75000"/>
                  </a:schemeClr>
                </a:solidFill>
                <a:latin typeface="Calibri"/>
                <a:ea typeface="Arial"/>
                <a:cs typeface="Arial"/>
              </a:defRPr>
            </a:pPr>
            <a:endParaRPr/>
          </a:p>
        </c:txPr>
        <c:crossAx val="86335892"/>
        <c:crosses val="autoZero"/>
        <c:auto val="1"/>
        <c:lblAlgn val="ctr"/>
        <c:lblOffset val="100"/>
        <c:noMultiLvlLbl val="0"/>
      </c:catAx>
      <c:valAx>
        <c:axId val="863358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86335891"/>
        <c:crosses val="autoZero"/>
        <c:crossBetween val="between"/>
      </c:valAx>
      <c:dTable>
        <c:showHorzBorder val="1"/>
        <c:showVertBorder val="1"/>
        <c:showOutline val="1"/>
        <c:showKeys val="1"/>
        <c:spPr bwMode="auto">
          <a:prstGeom prst="rect">
            <a:avLst/>
          </a:prstGeom>
          <a:solidFill>
            <a:schemeClr val="dk1">
              <a:lumMod val="75000"/>
              <a:lumOff val="25000"/>
            </a:schemeClr>
          </a:solidFill>
          <a:ln w="6350" cap="flat" cmpd="sng" algn="ctr">
            <a:solidFill>
              <a:schemeClr val="dk1">
                <a:tint val="75000"/>
              </a:schemeClr>
            </a:solidFill>
            <a:round/>
          </a:ln>
        </c:spPr>
        <c:txPr>
          <a:bodyPr/>
          <a:p>
            <a:pPr>
              <a:defRPr sz="10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/>
          </a:p>
        </c:txPr>
      </c:dTable>
      <c:spPr bwMode="auto">
        <a:prstGeom prst="rect">
          <a:avLst/>
        </a:prstGeom>
        <a:noFill/>
        <a:ln>
          <a:noFill/>
        </a:ln>
      </c:spPr>
    </c:plotArea>
    <c:legend>
      <c:legendPos val="t"/>
      <c:layout>
        <c:manualLayout>
          <c:x val="0.0027799999999999999"/>
          <c:y val="0.68640999999999996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6837060" cy="3524608"/>
    </a:xfrm>
    <a:prstGeom prst="rect">
      <a:avLst/>
    </a:prstGeom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</c:spPr>
  <c:txPr>
    <a:bodyPr/>
    <a:p>
      <a:pPr>
        <a:defRPr sz="1000">
          <a:solidFill>
            <a:schemeClr val="lt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</a:t>
            </a:r>
            <a:r>
              <a:rPr lang="ru-RU" sz="1400"/>
              <a:t> обращений поступивших в адрес Минтранса НСО в </a:t>
            </a:r>
            <a:r>
              <a:rPr lang="ru-RU" sz="1400"/>
              <a:t>четвертом</a:t>
            </a:r>
            <a:r>
              <a:rPr lang="ru-RU" sz="1400"/>
              <a:t> квартале 2023 года в сравнении с </a:t>
            </a:r>
            <a:r>
              <a:rPr lang="ru-RU" sz="1400"/>
              <a:t>третьим</a:t>
            </a:r>
            <a:r>
              <a:rPr lang="ru-RU" sz="1400"/>
              <a:t> кварталом 2023 года</a:t>
            </a:r>
            <a:r>
              <a:rPr lang="ru-RU" sz="1400"/>
              <a:t> и</a:t>
            </a:r>
            <a:endParaRPr lang="ru-RU" sz="1400"/>
          </a:p>
          <a:p>
            <a:pPr>
              <a:defRPr sz="1400"/>
            </a:pPr>
            <a:r>
              <a:rPr lang="ru-RU" sz="1400"/>
              <a:t> с четвертом кварталом 2022 года</a:t>
            </a:r>
            <a:endParaRPr lang="ru-RU" sz="1400"/>
          </a:p>
        </c:rich>
      </c:tx>
      <c:layout>
        <c:manualLayout>
          <c:xMode val="edge"/>
          <c:yMode val="edge"/>
          <c:x val="0.14036999999999999"/>
          <c:y val="0.04379000000000000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 xml:space="preserve">4 квартал 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'Лист1'!$A$2:$A$6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'Лист1'!$B$2:$B$6</c:f>
              <c:numCache>
                <c:formatCode>General</c:formatCode>
                <c:ptCount val="5"/>
                <c:pt idx="0">
                  <c:v>353</c:v>
                </c:pt>
                <c:pt idx="1">
                  <c:v>122</c:v>
                </c:pt>
                <c:pt idx="2">
                  <c:v>2</c:v>
                </c:pt>
                <c:pt idx="3">
                  <c:v>18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 xml:space="preserve">3 квартал 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'Лист1'!$A$2:$A$6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'Лист1'!$C$2:$C$6</c:f>
              <c:numCache>
                <c:formatCode>General</c:formatCode>
                <c:ptCount val="5"/>
                <c:pt idx="0">
                  <c:v>119</c:v>
                </c:pt>
                <c:pt idx="1">
                  <c:v>299</c:v>
                </c:pt>
                <c:pt idx="2">
                  <c:v>0</c:v>
                </c:pt>
                <c:pt idx="3">
                  <c:v>44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 xml:space="preserve">4 квартал 2022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'Лист1'!$A$2:$A$6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'Лист1'!$D$2:$D$6</c:f>
              <c:numCache>
                <c:formatCode>General</c:formatCode>
                <c:ptCount val="5"/>
                <c:pt idx="0">
                  <c:v>113</c:v>
                </c:pt>
                <c:pt idx="1">
                  <c:v>171</c:v>
                </c:pt>
                <c:pt idx="2">
                  <c:v>0</c:v>
                </c:pt>
                <c:pt idx="3">
                  <c:v>13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strRef>
              <c:f>'Лист1'!$E$1</c:f>
              <c:strCache>
                <c:ptCount val="1"/>
                <c:pt idx="0">
                  <c:v xml:space="preserve">1 квартал 2022 год2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'Лист1'!$A$2:$A$6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'Лист1'!$E$2:$E$6</c:f>
              <c:numCache>
                <c:formatCode>General</c:formatCode>
                <c:ptCount val="5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shape val="cylinder"/>
        <c:axId val="86313600"/>
        <c:axId val="86335872"/>
      </c:bar3DChart>
      <c:catAx>
        <c:axId val="863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335872"/>
        <c:crosses val="autoZero"/>
        <c:auto val="1"/>
        <c:lblAlgn val="ctr"/>
        <c:lblOffset val="100"/>
        <c:noMultiLvlLbl val="0"/>
      </c:catAx>
      <c:valAx>
        <c:axId val="86335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313600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spPr bwMode="auto">
    <a:xfrm>
      <a:off x="0" y="0"/>
      <a:ext cx="6857992" cy="3924292"/>
    </a:xfrm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/>
  </cs:axisTitle>
  <cs:categoryAxis>
    <cs:lnRef idx="0"/>
    <cs:fillRef idx="0"/>
    <cs:effectRef idx="0"/>
    <cs:fontRef idx="minor">
      <a:schemeClr val="lt1">
        <a:lumMod val="75000"/>
      </a:schemeClr>
    </cs:fontRef>
    <cs:defRPr sz="900"/>
  </cs:categoryAxis>
  <cs:chartArea>
    <cs:lnRef idx="0"/>
    <cs:fillRef idx="0"/>
    <cs:effectRef idx="0"/>
    <cs:fontRef idx="minor">
      <a:schemeClr val="lt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/>
  </cs:chartArea>
  <cs:dataLabel>
    <cs:lnRef idx="0"/>
    <cs:fillRef idx="0">
      <cs:styleClr val="auto"/>
    </cs:fillRef>
    <cs:effectRef idx="0"/>
    <cs:fontRef idx="minor">
      <a:schemeClr val="lt1"/>
    </cs:fontRef>
    <cs:spPr bwMode="auto">
      <a:prstGeom prst="rect">
        <a:avLst/>
      </a:prstGeom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rotWithShape="0">
          <a:prstClr val="black">
            <a:alpha val="40000"/>
          </a:prstClr>
        </a:outerShdw>
      </a:effectLst>
    </cs:spPr>
    <cs:defRPr sz="900" b="1" i="0" u="none" strike="noStrike"/>
  </cs:dataLabel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 bwMode="auto">
      <a:prstGeom prst="rect">
        <a:avLst/>
      </a:prstGeom>
      <a:ln w="9525">
        <a:solidFill>
          <a:schemeClr val="dk1">
            <a:lumMod val="50000"/>
            <a:lumOff val="50000"/>
          </a:schemeClr>
        </a:solidFill>
      </a:ln>
    </cs:spPr>
    <cs:defRPr sz="900"/>
  </cs:dataTable>
  <cs:downBar>
    <cs:lnRef idx="0"/>
    <cs:fillRef idx="0"/>
    <cs:effectRef idx="0"/>
    <cs:fontRef idx="minor">
      <a:schemeClr val="lt1"/>
    </cs:fontRef>
    <cs:spPr bwMode="auto">
      <a:prstGeom prst="rect">
        <a:avLst/>
      </a:prstGeom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2">
          <a:lumMod val="75000"/>
          <a:alpha val="26998"/>
        </a:schemeClr>
      </a:solidFill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cap="all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/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8079-9E99-4A01-AF18-3AC5EF38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revision>39</cp:revision>
  <dcterms:created xsi:type="dcterms:W3CDTF">2022-10-04T03:14:00Z</dcterms:created>
  <dcterms:modified xsi:type="dcterms:W3CDTF">2024-01-04T16:13:18Z</dcterms:modified>
</cp:coreProperties>
</file>