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chart3.xml" ContentType="application/vnd.openxmlformats-officedocument.drawingml.chart+xml"/>
  <Override PartName="/docProps/core.xml" ContentType="application/vnd.openxmlformats-package.core-properties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86"/>
        <w:shd w:val="clear" w:color="auto" w:fill="ffffff"/>
        <w:tabs>
          <w:tab w:val="left" w:pos="0" w:leader="none"/>
        </w:tabs>
        <w:rPr>
          <w:rFonts w:ascii="Times New Roman" w:hAnsi="Times New Roman" w:eastAsia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Информационно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статистический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обзор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обращений,</w:t>
      </w:r>
      <w:r/>
    </w:p>
    <w:p>
      <w:pPr>
        <w:jc w:val="center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рассмотренных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апреле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2023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года,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запросов информации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br/>
        <w:t xml:space="preserve">и обращений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нистерства транспорта и дорожного хозяйства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Новосибирской области, а также результатов рассмотрения обращений и принятых мер</w:t>
      </w:r>
      <w:r/>
    </w:p>
    <w:p>
      <w:pPr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Рассмотрение письменных и 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чных обращений, устных обращений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нистерства транспорта и дорожного хозяйства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нистерства транспорта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министерство)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/>
    </w:p>
    <w:p>
      <w:pPr>
        <w:ind w:firstLine="709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приемную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инистерства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также в форме электронного документа на официа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льный сайт.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Личные обращения граждан рассматриваются на личных приемах, проводимых министром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транспорта и дорожного хозяйства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либо лицом его замещающим.</w:t>
      </w:r>
      <w:r/>
    </w:p>
    <w:p>
      <w:pPr>
        <w:ind w:firstLine="709"/>
        <w:jc w:val="both"/>
        <w:spacing w:line="276" w:lineRule="auto"/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b/>
          <w:sz w:val="28"/>
          <w:szCs w:val="28"/>
        </w:rPr>
        <w:t xml:space="preserve">0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0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.2023 по 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0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0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.2023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нистерство </w:t>
      </w:r>
      <w:r>
        <w:rPr>
          <w:rFonts w:ascii="Times New Roman" w:hAnsi="Times New Roman" w:cs="Times New Roman"/>
          <w:sz w:val="28"/>
          <w:szCs w:val="28"/>
        </w:rPr>
        <w:t xml:space="preserve">поступило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29 (в </w:t>
      </w:r>
      <w:r>
        <w:rPr>
          <w:rFonts w:ascii="Times New Roman" w:hAnsi="Times New Roman" w:cs="Times New Roman"/>
          <w:sz w:val="28"/>
          <w:szCs w:val="28"/>
        </w:rPr>
        <w:t xml:space="preserve">марте 2023</w:t>
      </w:r>
      <w:r>
        <w:rPr>
          <w:rFonts w:ascii="Times New Roman" w:hAnsi="Times New Roman" w:cs="Times New Roman"/>
          <w:sz w:val="28"/>
          <w:szCs w:val="28"/>
        </w:rPr>
        <w:t xml:space="preserve"> года- 157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апреле </w:t>
      </w:r>
      <w:r>
        <w:rPr>
          <w:rFonts w:ascii="Times New Roman" w:hAnsi="Times New Roman" w:cs="Times New Roman"/>
          <w:sz w:val="28"/>
          <w:szCs w:val="28"/>
        </w:rPr>
        <w:t xml:space="preserve">2022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177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индивидуальн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ых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Количеств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о поступивших обращений в апреле месяце текущего года уменьшилось в сравнении с мартом на 17% (на 28 обращений), с апрелем прошлого года на 27% (на 48 обращений). </w:t>
      </w:r>
      <w:r/>
    </w:p>
    <w:p>
      <w:pPr>
        <w:jc w:val="both"/>
        <w:spacing w:line="276" w:lineRule="auto"/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Из общего количеств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а обращений в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апреле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2023 года, зарегистрировано 1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29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письменных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обращений, в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марте 2023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года-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1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26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письменных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а в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апреле 2022 года 119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письменных обращени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я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Количество п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исьменных обращений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апреле месяце увеличилось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сравнении с данными месяцами, с мартом на 2% (на 3 письменных), с апрелем прошлого года на 8% (на 10  письменных).</w:t>
      </w:r>
      <w:r/>
    </w:p>
    <w:p>
      <w:pPr>
        <w:jc w:val="both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Тематика вопросов, содержащихся в письменных обращениях граждан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поступивших в управление дорожного комплекса министерства тран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спорта и дорожного хозяйства Новосибирской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</w:t>
      </w:r>
      <w:r/>
    </w:p>
    <w:p>
      <w:pPr>
        <w:jc w:val="both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Комплексное благоустройство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;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Транспортное обслуживание населения, пассажирские перевозки;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Городской, сельский и междугородний пассажирский транспорт;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и реконструкция автомобильных дорог;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-Платежные системы;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Управление транспортом. Работа руководителей транспортных организаций.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-Борьба с аварийностью. Безопасность дорожного движения;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-Эксплуатация и сохранность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 дорог;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-Содержание транспортной инфраструктуры;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-Благоустройство и ремонт подъездн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дорог, в том числе тротуаров;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-Тарифы, сборы и льготы на транспортные услуги;</w:t>
      </w:r>
      <w:r/>
    </w:p>
    <w:p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-Благодарности, приглашения, поздравления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органу местного самоуправления.</w:t>
      </w:r>
      <w:r/>
    </w:p>
    <w:p>
      <w:pPr>
        <w:jc w:val="both"/>
        <w:rPr>
          <w:rStyle w:val="819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все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129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обращений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 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 направлены ответы заявителям.</w:t>
      </w:r>
      <w:r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/>
    </w:p>
    <w:p>
      <w:pPr>
        <w:jc w:val="both"/>
        <w:spacing w:line="276" w:lineRule="auto"/>
        <w:rPr>
          <w:rStyle w:val="819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709" w:right="992" w:bottom="284" w:left="567" w:header="709" w:footer="709" w:gutter="0"/>
          <w:cols w:num="1" w:sep="0" w:space="708" w:equalWidth="1"/>
          <w:docGrid w:linePitch="360"/>
        </w:sectPr>
      </w:pPr>
      <w:r>
        <w:rPr>
          <w:rStyle w:val="819"/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399" cy="3200399"/>
            <wp:effectExtent l="4762" t="4762" r="4762" b="4762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/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  <w:sectPr>
          <w:footnotePr/>
          <w:endnotePr/>
          <w:type w:val="continuous"/>
          <w:pgSz w:w="11906" w:h="16838" w:orient="portrait"/>
          <w:pgMar w:top="709" w:right="993" w:bottom="284" w:left="851" w:header="708" w:footer="708" w:gutter="0"/>
          <w:cols w:num="3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4.2023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зарегистрированы.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епосредственно в министерство.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апреле 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ировано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марте 2023 было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49 заявле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апреле 2022 было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заявлений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месяце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заявлений уменьшилось в сравнении с прошлым месяцем 2023 года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59% (на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заявлений), с прошлым годом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текущего месяца количество уменьшилось на 33% (на 10 заявлений).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399" cy="3200397"/>
            <wp:effectExtent l="4762" t="4762" r="4762" b="4762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/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апреле 2023 года устных обращений не поступало.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марте месяце поступило 1 устное обращение. (об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змен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расписани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пригородного автобуса)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В апреле прошлого года устных обращений поступило девять. </w:t>
      </w:r>
      <w:r/>
    </w:p>
    <w:p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По смс-сообщению в апреле и марте 2023 года обращений не поступало. В прошлом году текущего месяца таких обращений поступило шесть.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апреле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(в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апреле 2022 года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апреле месяце уменьшилось в сравнении с мартом на 17% (на 13 жалоб), с апрелем прошлого года на 28% (на 17 жалоб).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399" cy="3200397"/>
            <wp:effectExtent l="4762" t="4762" r="4762" b="4762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 личный прием к министру в апреле месяце граждане не обращались. 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</w:t>
      </w:r>
      <w:r>
        <w:rPr>
          <w:rFonts w:ascii="Times New Roman" w:hAnsi="Times New Roman" w:cs="Times New Roman"/>
          <w:sz w:val="28"/>
          <w:szCs w:val="28"/>
        </w:rPr>
        <w:t xml:space="preserve">о данным вопросам заявителям даны устные разъяснения в ходе личного</w:t>
      </w:r>
      <w:r>
        <w:rPr>
          <w:rFonts w:ascii="Times New Roman" w:hAnsi="Times New Roman" w:cs="Times New Roman"/>
          <w:sz w:val="28"/>
          <w:szCs w:val="28"/>
        </w:rPr>
        <w:t xml:space="preserve"> приёма и были </w:t>
      </w:r>
      <w:r>
        <w:rPr>
          <w:rFonts w:ascii="Times New Roman" w:hAnsi="Times New Roman" w:cs="Times New Roman"/>
          <w:sz w:val="28"/>
          <w:szCs w:val="28"/>
        </w:rPr>
        <w:t xml:space="preserve">даны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ответы в установленные законом сроки.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/>
    </w:p>
    <w:p>
      <w:pPr>
        <w:jc w:val="both"/>
        <w:spacing w:line="276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Verdana" w:hAnsi="Verdana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Verdana" w:hAnsi="Verdana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апреле месяце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поступало, зарегистрировано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/>
    </w:p>
    <w:p>
      <w:pPr>
        <w:jc w:val="both"/>
        <w:spacing w:line="276" w:lineRule="auto"/>
        <w:shd w:val="clear" w:color="auto" w:fill="ffffff"/>
        <w:rPr>
          <w:rFonts w:ascii="Verdana" w:hAnsi="Verdana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Verdana" w:hAnsi="Verdana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я направлены ответы заявителям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  <w:r/>
    </w:p>
    <w:p>
      <w:pPr>
        <w:jc w:val="bot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от 02.05.2006 № 59-ФЗ «О порядке рассмотрения обращений граждан Российской Федерации»,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проведению личного приема граждан в 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нистерстве транспорта и дорожного хозяйства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/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явителям даны письменные ответы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  <w:r/>
    </w:p>
    <w:p>
      <w:pPr>
        <w:jc w:val="both"/>
        <w:spacing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Организация работы с обращениями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граждан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позвол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ила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апреле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 обеспечить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своевременное,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объективное и всестороннее 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ассмотрение обращений граждан,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/>
    </w:p>
    <w:sectPr>
      <w:footnotePr/>
      <w:endnotePr/>
      <w:type w:val="continuous"/>
      <w:pgSz w:w="11906" w:h="16838" w:orient="portrait"/>
      <w:pgMar w:top="709" w:right="993" w:bottom="284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4"/>
    <w:next w:val="814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1">
    <w:name w:val="Heading 1 Char"/>
    <w:basedOn w:val="815"/>
    <w:link w:val="640"/>
    <w:uiPriority w:val="9"/>
    <w:rPr>
      <w:rFonts w:ascii="Arial" w:hAnsi="Arial" w:eastAsia="Arial" w:cs="Arial"/>
      <w:sz w:val="40"/>
      <w:szCs w:val="40"/>
    </w:rPr>
  </w:style>
  <w:style w:type="paragraph" w:styleId="642">
    <w:name w:val="Heading 2"/>
    <w:basedOn w:val="814"/>
    <w:next w:val="814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3">
    <w:name w:val="Heading 2 Char"/>
    <w:basedOn w:val="815"/>
    <w:link w:val="642"/>
    <w:uiPriority w:val="9"/>
    <w:rPr>
      <w:rFonts w:ascii="Arial" w:hAnsi="Arial" w:eastAsia="Arial" w:cs="Arial"/>
      <w:sz w:val="34"/>
    </w:rPr>
  </w:style>
  <w:style w:type="paragraph" w:styleId="644">
    <w:name w:val="Heading 3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5">
    <w:name w:val="Heading 3 Char"/>
    <w:basedOn w:val="815"/>
    <w:link w:val="644"/>
    <w:uiPriority w:val="9"/>
    <w:rPr>
      <w:rFonts w:ascii="Arial" w:hAnsi="Arial" w:eastAsia="Arial" w:cs="Arial"/>
      <w:sz w:val="30"/>
      <w:szCs w:val="30"/>
    </w:rPr>
  </w:style>
  <w:style w:type="paragraph" w:styleId="646">
    <w:name w:val="Heading 4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7">
    <w:name w:val="Heading 4 Char"/>
    <w:basedOn w:val="815"/>
    <w:link w:val="646"/>
    <w:uiPriority w:val="9"/>
    <w:rPr>
      <w:rFonts w:ascii="Arial" w:hAnsi="Arial" w:eastAsia="Arial" w:cs="Arial"/>
      <w:b/>
      <w:bCs/>
      <w:sz w:val="26"/>
      <w:szCs w:val="26"/>
    </w:rPr>
  </w:style>
  <w:style w:type="paragraph" w:styleId="648">
    <w:name w:val="Heading 5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9">
    <w:name w:val="Heading 5 Char"/>
    <w:basedOn w:val="815"/>
    <w:link w:val="648"/>
    <w:uiPriority w:val="9"/>
    <w:rPr>
      <w:rFonts w:ascii="Arial" w:hAnsi="Arial" w:eastAsia="Arial" w:cs="Arial"/>
      <w:b/>
      <w:bCs/>
      <w:sz w:val="24"/>
      <w:szCs w:val="24"/>
    </w:rPr>
  </w:style>
  <w:style w:type="paragraph" w:styleId="650">
    <w:name w:val="Heading 6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1">
    <w:name w:val="Heading 6 Char"/>
    <w:basedOn w:val="815"/>
    <w:link w:val="650"/>
    <w:uiPriority w:val="9"/>
    <w:rPr>
      <w:rFonts w:ascii="Arial" w:hAnsi="Arial" w:eastAsia="Arial" w:cs="Arial"/>
      <w:b/>
      <w:bCs/>
      <w:sz w:val="22"/>
      <w:szCs w:val="22"/>
    </w:rPr>
  </w:style>
  <w:style w:type="paragraph" w:styleId="652">
    <w:name w:val="Heading 7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7 Char"/>
    <w:basedOn w:val="815"/>
    <w:link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4">
    <w:name w:val="Heading 8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5">
    <w:name w:val="Heading 8 Char"/>
    <w:basedOn w:val="815"/>
    <w:link w:val="654"/>
    <w:uiPriority w:val="9"/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814"/>
    <w:next w:val="814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9 Char"/>
    <w:basedOn w:val="815"/>
    <w:link w:val="656"/>
    <w:uiPriority w:val="9"/>
    <w:rPr>
      <w:rFonts w:ascii="Arial" w:hAnsi="Arial" w:eastAsia="Arial" w:cs="Arial"/>
      <w:i/>
      <w:iCs/>
      <w:sz w:val="21"/>
      <w:szCs w:val="21"/>
    </w:rPr>
  </w:style>
  <w:style w:type="paragraph" w:styleId="658">
    <w:name w:val="No Spacing"/>
    <w:uiPriority w:val="1"/>
    <w:qFormat/>
    <w:pPr>
      <w:spacing w:before="0" w:after="0" w:line="240" w:lineRule="auto"/>
    </w:pPr>
  </w:style>
  <w:style w:type="paragraph" w:styleId="659">
    <w:name w:val="Title"/>
    <w:basedOn w:val="814"/>
    <w:next w:val="814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basedOn w:val="815"/>
    <w:link w:val="659"/>
    <w:uiPriority w:val="10"/>
    <w:rPr>
      <w:sz w:val="48"/>
      <w:szCs w:val="48"/>
    </w:rPr>
  </w:style>
  <w:style w:type="paragraph" w:styleId="661">
    <w:name w:val="Subtitle"/>
    <w:basedOn w:val="814"/>
    <w:next w:val="814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5"/>
    <w:link w:val="661"/>
    <w:uiPriority w:val="11"/>
    <w:rPr>
      <w:sz w:val="24"/>
      <w:szCs w:val="24"/>
    </w:rPr>
  </w:style>
  <w:style w:type="paragraph" w:styleId="663">
    <w:name w:val="Quote"/>
    <w:basedOn w:val="814"/>
    <w:next w:val="814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4"/>
    <w:next w:val="814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character" w:styleId="667">
    <w:name w:val="Header Char"/>
    <w:basedOn w:val="815"/>
    <w:link w:val="823"/>
    <w:uiPriority w:val="99"/>
  </w:style>
  <w:style w:type="character" w:styleId="668">
    <w:name w:val="Footer Char"/>
    <w:basedOn w:val="815"/>
    <w:link w:val="825"/>
    <w:uiPriority w:val="99"/>
  </w:style>
  <w:style w:type="paragraph" w:styleId="669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825"/>
    <w:uiPriority w:val="99"/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0" w:line="240" w:lineRule="auto"/>
    </w:pPr>
    <w:rPr>
      <w:rFonts w:ascii="Calibri" w:hAnsi="Calibri" w:cs="Calibri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List Paragraph"/>
    <w:basedOn w:val="814"/>
    <w:uiPriority w:val="34"/>
    <w:qFormat/>
    <w:pPr>
      <w:contextualSpacing/>
      <w:ind w:left="720"/>
    </w:pPr>
  </w:style>
  <w:style w:type="character" w:styleId="819">
    <w:name w:val="Strong"/>
    <w:basedOn w:val="815"/>
    <w:uiPriority w:val="22"/>
    <w:qFormat/>
    <w:rPr>
      <w:rFonts w:cs="Times New Roman"/>
      <w:b/>
    </w:rPr>
  </w:style>
  <w:style w:type="paragraph" w:styleId="820">
    <w:name w:val="Balloon Text"/>
    <w:basedOn w:val="814"/>
    <w:link w:val="821"/>
    <w:uiPriority w:val="99"/>
    <w:semiHidden/>
    <w:unhideWhenUsed/>
    <w:rPr>
      <w:rFonts w:ascii="Tahoma" w:hAnsi="Tahoma" w:cs="Tahoma"/>
      <w:sz w:val="16"/>
      <w:szCs w:val="16"/>
    </w:rPr>
  </w:style>
  <w:style w:type="character" w:styleId="821" w:customStyle="1">
    <w:name w:val="Текст выноски Знак"/>
    <w:basedOn w:val="815"/>
    <w:link w:val="820"/>
    <w:uiPriority w:val="99"/>
    <w:semiHidden/>
    <w:rPr>
      <w:rFonts w:ascii="Tahoma" w:hAnsi="Tahoma" w:cs="Tahoma"/>
      <w:sz w:val="16"/>
      <w:szCs w:val="16"/>
    </w:rPr>
  </w:style>
  <w:style w:type="table" w:styleId="822">
    <w:name w:val="Table Grid"/>
    <w:basedOn w:val="81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3">
    <w:name w:val="Header"/>
    <w:basedOn w:val="814"/>
    <w:link w:val="82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24" w:customStyle="1">
    <w:name w:val="Верхний колонтитул Знак"/>
    <w:basedOn w:val="815"/>
    <w:link w:val="823"/>
    <w:uiPriority w:val="99"/>
    <w:rPr>
      <w:rFonts w:ascii="Calibri" w:hAnsi="Calibri" w:cs="Calibri"/>
    </w:rPr>
  </w:style>
  <w:style w:type="paragraph" w:styleId="825">
    <w:name w:val="Footer"/>
    <w:basedOn w:val="814"/>
    <w:link w:val="82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26" w:customStyle="1">
    <w:name w:val="Нижний колонтитул Знак"/>
    <w:basedOn w:val="815"/>
    <w:link w:val="825"/>
    <w:uiPriority w:val="99"/>
    <w:rPr>
      <w:rFonts w:ascii="Calibri" w:hAnsi="Calibri" w:cs="Calibri"/>
    </w:rPr>
  </w:style>
  <w:style w:type="character" w:styleId="827" w:customStyle="1">
    <w:name w:val="gwt-inlinelabel"/>
    <w:basedOn w:val="81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hart" Target="charts/chart1.xml" /><Relationship Id="rId11" Type="http://schemas.openxmlformats.org/officeDocument/2006/relationships/chart" Target="charts/chart2.xml" /><Relationship Id="rId12" Type="http://schemas.openxmlformats.org/officeDocument/2006/relationships/chart" Target="charts/chart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3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Количество поступивших обращений в Минтранс НСО в</a:t>
            </a:r>
            <a:r>
              <a:rPr lang="ru-RU" sz="1400"/>
              <a:t> апреле 2023 года в сравнении </a:t>
            </a:r>
            <a:r>
              <a:rPr lang="ru-RU" sz="1400"/>
              <a:t>с мартом</a:t>
            </a:r>
            <a:r>
              <a:rPr lang="ru-RU" sz="1400"/>
              <a:t> 2023 года</a:t>
            </a:r>
            <a:endParaRPr/>
          </a:p>
          <a:p>
            <a:pPr>
              <a:defRPr/>
            </a:pPr>
            <a:r>
              <a:rPr lang="ru-RU" sz="1400"/>
              <a:t> и</a:t>
            </a:r>
            <a:r>
              <a:rPr lang="ru-RU" sz="1400"/>
              <a:t> апрелем</a:t>
            </a:r>
            <a:r>
              <a:rPr lang="ru-RU" sz="1400"/>
              <a:t> 2022 года</a:t>
            </a:r>
            <a:endParaRPr/>
          </a:p>
        </c:rich>
      </c:tx>
      <c:layout>
        <c:manualLayout>
          <c:xMode val="edge"/>
          <c:yMode val="edge"/>
          <c:x val="0.13539999999999999"/>
          <c:y val="0.043749999999999997"/>
        </c:manualLayout>
      </c:layout>
      <c:overlay val="0"/>
    </c:title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апрель 2023 год</c:v>
                </c:pt>
              </c:strCache>
            </c:strRef>
          </c:tx>
          <c:spPr bwMode="auto">
            <a:prstGeom prst="rect">
              <a:avLst/>
            </a:prstGeom>
            <a:ln w="28575">
              <a:noFill/>
            </a:ln>
          </c:spPr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 xml:space="preserve">март 2023 год</c:v>
                </c:pt>
              </c:strCache>
            </c:strRef>
          </c:tx>
          <c:spPr bwMode="auto">
            <a:prstGeom prst="rect">
              <a:avLst/>
            </a:prstGeom>
            <a:ln w="28575">
              <a:noFill/>
            </a:ln>
          </c:spPr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 xml:space="preserve">апрель 2022 год</c:v>
                </c:pt>
              </c:strCache>
            </c:strRef>
          </c:tx>
          <c:spPr bwMode="auto">
            <a:prstGeom prst="rect">
              <a:avLst/>
            </a:prstGeom>
            <a:ln w="28575">
              <a:noFill/>
            </a:ln>
          </c:spPr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177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axId val="95185920"/>
        <c:axId val="95200000"/>
      </c:areaChart>
      <c:catAx>
        <c:axId val="95185920"/>
        <c:scaling>
          <c:orientation val="minMax"/>
        </c:scaling>
        <c:delete val="0"/>
        <c:axPos val="b"/>
        <c:minorGridlines>
          <c:spPr bwMode="auto"/>
        </c:minorGridlines>
        <c:numFmt formatCode="General" sourceLinked="1"/>
        <c:majorTickMark val="none"/>
        <c:minorTickMark val="none"/>
        <c:tickLblPos val="nextTo"/>
        <c:crossAx val="95200000"/>
        <c:crosses val="autoZero"/>
        <c:auto val="1"/>
        <c:lblAlgn val="ctr"/>
        <c:lblOffset val="100"/>
        <c:noMultiLvlLbl val="0"/>
      </c:catAx>
      <c:valAx>
        <c:axId val="95200000"/>
        <c:scaling>
          <c:orientation val="minMax"/>
        </c:scaling>
        <c:delete val="0"/>
        <c:axPos val="l"/>
        <c:minorGridlines>
          <c:spPr bwMode="auto"/>
        </c:minorGridlines>
        <c:numFmt formatCode="General" sourceLinked="1"/>
        <c:majorTickMark val="out"/>
        <c:minorTickMark val="none"/>
        <c:tickLblPos val="nextTo"/>
        <c:crossAx val="95185920"/>
        <c:crosses val="autoZero"/>
        <c:crossBetween val="midCat"/>
      </c:valAx>
    </c:plotArea>
    <c:legend>
      <c:legendPos val="t"/>
      <c:layout/>
      <c:overlay val="0"/>
    </c:legend>
    <c:plotVisOnly val="1"/>
    <c:dispBlanksAs val="gap"/>
    <c:showDLblsOverMax val="0"/>
  </c:chart>
  <c:spPr bwMode="auto">
    <a:xfrm>
      <a:off x="0" y="0"/>
      <a:ext cx="5486398" cy="3200398"/>
    </a:xfrm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78670000000000004"/>
          <c:y val="0.044049999999999999"/>
          <c:w val="0.90281"/>
          <c:h val="0.7465300000000000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Лист1!$A$2:$A$6</c:f>
              <c:strCache>
                <c:ptCount val="4"/>
                <c:pt idx="2">
                  <c:v xml:space="preserve"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129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Лист1!$A$2:$A$6</c:f>
              <c:strCache>
                <c:ptCount val="4"/>
                <c:pt idx="2">
                  <c:v xml:space="preserve"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126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Лист1!$A$2:$A$6</c:f>
              <c:strCache>
                <c:ptCount val="4"/>
                <c:pt idx="2">
                  <c:v xml:space="preserve"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119</c:v>
                </c:pt>
                <c:pt idx="3">
                  <c:v>9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gapWidth val="150"/>
        <c:shape val="cylinder"/>
        <c:axId val="88480384"/>
        <c:axId val="88498560"/>
        <c:axId val="43466240"/>
      </c:bar3DChart>
      <c:catAx>
        <c:axId val="88480384"/>
        <c:scaling>
          <c:orientation val="minMax"/>
        </c:scaling>
        <c:delete val="0"/>
        <c:axPos val="b"/>
        <c:majorGridlines>
          <c:spPr bwMode="auto"/>
        </c:majorGridlines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88498560"/>
        <c:crosses val="autoZero"/>
        <c:auto val="1"/>
        <c:lblAlgn val="ctr"/>
        <c:lblOffset val="100"/>
        <c:noMultiLvlLbl val="0"/>
      </c:catAx>
      <c:valAx>
        <c:axId val="88498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88480384"/>
        <c:crosses val="autoZero"/>
        <c:crossBetween val="between"/>
      </c:valAx>
      <c:serAx>
        <c:axId val="43466240"/>
        <c:scaling>
          <c:orientation val="minMax"/>
        </c:scaling>
        <c:delete val="1"/>
        <c:axPos val="b"/>
        <c:minorGridlines>
          <c:spPr bwMode="auto"/>
        </c:minorGridlines>
        <c:majorTickMark val="out"/>
        <c:minorTickMark val="none"/>
        <c:tickLblPos val="nextTo"/>
        <c:crossAx val="88498560"/>
        <c:crosses val="autoZero"/>
      </c:serAx>
    </c:plotArea>
    <c:legend>
      <c:legendPos val="b"/>
      <c:layout/>
      <c:overlay val="0"/>
      <c:txPr>
        <a:bodyPr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5486398" cy="3200396"/>
    </a:xfrm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/>
              <a:t> заявления и жалобы в Минтранс НСО в апреле 2023 года в сранении с мартом 2023 года </a:t>
            </a:r>
            <a:endParaRPr/>
          </a:p>
          <a:p>
            <a:pPr>
              <a:defRPr/>
            </a:pPr>
            <a:r>
              <a:rPr lang="ru-RU" sz="1200"/>
              <a:t>и апрелем   2022 года</a:t>
            </a:r>
            <a:endParaRPr lang="ru-RU" sz="1200"/>
          </a:p>
        </c:rich>
      </c:tx>
      <c:layout>
        <c:manualLayout>
          <c:xMode val="edge"/>
          <c:yMode val="edge"/>
          <c:x val="0.13250000000000001"/>
          <c:y val="0.019869999999999999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апрель 2023 год 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20</c:v>
                </c:pt>
                <c:pt idx="2">
                  <c:v>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 xml:space="preserve">март 2023 год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49</c:v>
                </c:pt>
                <c:pt idx="2">
                  <c:v>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 xml:space="preserve">апрель 2022 год</c:v>
                </c:pt>
              </c:strCache>
            </c:strRef>
          </c:tx>
          <c:invertIfNegative val="0"/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spPr bwMode="auto">
              <a:prstGeom prst="rect">
                <a:avLst/>
              </a:prstGeom>
              <a:noFill/>
              <a:ln>
                <a:noFill/>
              </a:ln>
              <a:effectLst/>
            </c:spPr>
          </c:dLbls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30</c:v>
                </c:pt>
                <c:pt idx="2">
                  <c:v>78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1"/>
        </c:dLbls>
        <c:gapWidth val="150"/>
        <c:shape val="cylinder"/>
        <c:axId val="95782400"/>
        <c:axId val="95783936"/>
      </c:bar3DChart>
      <c:catAx>
        <c:axId val="95782400"/>
        <c:scaling>
          <c:orientation val="minMax"/>
        </c:scaling>
        <c:delete val="0"/>
        <c:axPos val="b"/>
        <c:minorGridlines>
          <c:spPr bwMode="auto"/>
        </c:minorGridlines>
        <c:numFmt formatCode="General" sourceLinked="0"/>
        <c:majorTickMark val="none"/>
        <c:minorTickMark val="none"/>
        <c:tickLblPos val="nextTo"/>
        <c:crossAx val="95783936"/>
        <c:crosses val="autoZero"/>
        <c:auto val="1"/>
        <c:lblAlgn val="ctr"/>
        <c:lblOffset val="100"/>
        <c:noMultiLvlLbl val="0"/>
      </c:catAx>
      <c:valAx>
        <c:axId val="95783936"/>
        <c:scaling>
          <c:orientation val="minMax"/>
        </c:scaling>
        <c:delete val="1"/>
        <c:axPos val="l"/>
        <c:majorGridlines>
          <c:spPr bwMode="auto"/>
        </c:majorGridlines>
        <c:minorGridlines>
          <c:spPr bwMode="auto"/>
        </c:minorGridlines>
        <c:numFmt formatCode="General" sourceLinked="1"/>
        <c:majorTickMark val="none"/>
        <c:minorTickMark val="none"/>
        <c:tickLblPos val="none"/>
        <c:crossAx val="9578240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 bwMode="auto">
    <a:xfrm>
      <a:off x="0" y="0"/>
      <a:ext cx="5486398" cy="3200396"/>
    </a:xfrm>
  </c:spPr>
  <c:externalData r:id="rId1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A2504-A3D0-4B98-A1A1-7802A1F0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revision>22</cp:revision>
  <dcterms:created xsi:type="dcterms:W3CDTF">2023-02-02T03:31:00Z</dcterms:created>
  <dcterms:modified xsi:type="dcterms:W3CDTF">2023-05-05T04:01:54Z</dcterms:modified>
</cp:coreProperties>
</file>