
<file path=[Content_Types].xml><?xml version="1.0" encoding="utf-8"?>
<Types xmlns="http://schemas.openxmlformats.org/package/2006/content-types">
  <Default Extension="xlsx" ContentType="application/vnd.openxmlformats-officedocument.spreadsheetml.sheet"/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word/charts/chart3.xml" ContentType="application/vnd.openxmlformats-officedocument.drawingml.chart+xml"/>
  <Override PartName="/docProps/core.xml" ContentType="application/vnd.openxmlformats-package.core-properties+xml"/>
  <Override PartName="/word/charts/chart2.xml" ContentType="application/vnd.openxmlformats-officedocument.drawingml.chart+xml"/>
  <Override PartName="/word/charts/chart1.xml" ContentType="application/vnd.openxmlformats-officedocument.drawingml.chart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right="-286"/>
        <w:shd w:val="clear" w:color="auto" w:fill="ffffff"/>
        <w:tabs>
          <w:tab w:val="left" w:pos="0" w:leader="none"/>
        </w:tabs>
        <w:rPr>
          <w:rFonts w:ascii="Times New Roman" w:hAnsi="Times New Roman" w:eastAsia="Times New Roman"/>
          <w:b/>
          <w:sz w:val="28"/>
          <w:szCs w:val="28"/>
          <w:lang w:eastAsia="ru-RU"/>
        </w:rPr>
        <w:outlineLvl w:val="0"/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Информационно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-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статистический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обзор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обращений,</w:t>
      </w:r>
      <w:r/>
    </w:p>
    <w:p>
      <w:pPr>
        <w:jc w:val="center"/>
        <w:shd w:val="clear" w:color="auto" w:fill="ffffff"/>
        <w:rPr>
          <w:rFonts w:ascii="Times New Roman" w:hAnsi="Times New Roman" w:eastAsia="Times New Roman"/>
          <w:b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рассмотренных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в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мае 2023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года,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запросов информации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br/>
        <w:t xml:space="preserve">и обращений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нистерства транспорта и дорожного хозяйства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Новосибирской области, а также результатов рассмотрения обращений и принятых мер</w:t>
      </w:r>
      <w:r/>
    </w:p>
    <w:p>
      <w:pPr>
        <w:jc w:val="both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  <w:r/>
    </w:p>
    <w:p>
      <w:pPr>
        <w:jc w:val="both"/>
        <w:spacing w:line="276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       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Рассмотрение письменных и ли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чных обращений, устных обращений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ми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нистерства транспорта и дорожного хозяйства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Новосибирской области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и ми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нистерства транспорта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(далее – министерство)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 </w:t>
      </w:r>
      <w:r/>
    </w:p>
    <w:p>
      <w:pPr>
        <w:ind w:firstLine="709"/>
        <w:jc w:val="both"/>
        <w:spacing w:line="276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приемную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lang w:eastAsia="ru-RU"/>
        </w:rPr>
        <w:t xml:space="preserve">м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lang w:eastAsia="ru-RU"/>
        </w:rPr>
        <w:t xml:space="preserve">инистерства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а также в форме электронного документа на официа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льный сайт.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Личные обращения граждан рассматриваются на личных приемах, проводимых министром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транспорта и дорожного хозяйства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Новосибирской области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либо лицом его замещающим.</w:t>
      </w:r>
      <w:r/>
    </w:p>
    <w:p>
      <w:pPr>
        <w:ind w:firstLine="709"/>
        <w:jc w:val="both"/>
        <w:spacing w:line="276" w:lineRule="auto"/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>
        <w:rPr>
          <w:rFonts w:ascii="Times New Roman" w:hAnsi="Times New Roman" w:cs="Times New Roman"/>
          <w:b/>
          <w:sz w:val="28"/>
          <w:szCs w:val="28"/>
        </w:rPr>
        <w:t xml:space="preserve">0</w:t>
      </w:r>
      <w:r>
        <w:rPr>
          <w:rFonts w:ascii="Times New Roman" w:hAnsi="Times New Roman" w:cs="Times New Roman"/>
          <w:b/>
          <w:sz w:val="28"/>
          <w:szCs w:val="28"/>
        </w:rPr>
        <w:t xml:space="preserve">1</w:t>
      </w:r>
      <w:r>
        <w:rPr>
          <w:rFonts w:ascii="Times New Roman" w:hAnsi="Times New Roman" w:cs="Times New Roman"/>
          <w:b/>
          <w:sz w:val="28"/>
          <w:szCs w:val="28"/>
        </w:rPr>
        <w:t xml:space="preserve">.</w:t>
      </w:r>
      <w:r>
        <w:rPr>
          <w:rFonts w:ascii="Times New Roman" w:hAnsi="Times New Roman" w:cs="Times New Roman"/>
          <w:b/>
          <w:sz w:val="28"/>
          <w:szCs w:val="28"/>
        </w:rPr>
        <w:t xml:space="preserve">0</w:t>
      </w:r>
      <w:r>
        <w:rPr>
          <w:rFonts w:ascii="Times New Roman" w:hAnsi="Times New Roman" w:cs="Times New Roman"/>
          <w:b/>
          <w:sz w:val="28"/>
          <w:szCs w:val="28"/>
        </w:rPr>
        <w:t xml:space="preserve">5.2023 по </w:t>
      </w:r>
      <w:r>
        <w:rPr>
          <w:rFonts w:ascii="Times New Roman" w:hAnsi="Times New Roman" w:cs="Times New Roman"/>
          <w:b/>
          <w:sz w:val="28"/>
          <w:szCs w:val="28"/>
        </w:rPr>
        <w:t xml:space="preserve">3</w:t>
      </w:r>
      <w:r>
        <w:rPr>
          <w:rFonts w:ascii="Times New Roman" w:hAnsi="Times New Roman" w:cs="Times New Roman"/>
          <w:b/>
          <w:sz w:val="28"/>
          <w:szCs w:val="28"/>
        </w:rPr>
        <w:t xml:space="preserve">1.</w:t>
      </w:r>
      <w:r>
        <w:rPr>
          <w:rFonts w:ascii="Times New Roman" w:hAnsi="Times New Roman" w:cs="Times New Roman"/>
          <w:b/>
          <w:sz w:val="28"/>
          <w:szCs w:val="28"/>
        </w:rPr>
        <w:t xml:space="preserve">0</w:t>
      </w:r>
      <w:r>
        <w:rPr>
          <w:rFonts w:ascii="Times New Roman" w:hAnsi="Times New Roman" w:cs="Times New Roman"/>
          <w:b/>
          <w:sz w:val="28"/>
          <w:szCs w:val="28"/>
        </w:rPr>
        <w:t xml:space="preserve">5.2023</w:t>
      </w:r>
      <w:r>
        <w:rPr>
          <w:rFonts w:ascii="Times New Roman" w:hAnsi="Times New Roman" w:cs="Times New Roman"/>
          <w:sz w:val="28"/>
          <w:szCs w:val="28"/>
        </w:rPr>
        <w:t xml:space="preserve"> 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нистерство </w:t>
      </w:r>
      <w:r>
        <w:rPr>
          <w:rFonts w:ascii="Times New Roman" w:hAnsi="Times New Roman" w:cs="Times New Roman"/>
          <w:sz w:val="28"/>
          <w:szCs w:val="28"/>
        </w:rPr>
        <w:t xml:space="preserve">поступило</w:t>
      </w:r>
      <w:r>
        <w:rPr>
          <w:rFonts w:ascii="Times New Roman" w:hAnsi="Times New Roman" w:cs="Times New Roman"/>
          <w:sz w:val="28"/>
          <w:szCs w:val="28"/>
        </w:rPr>
        <w:t xml:space="preserve"> 1</w:t>
      </w:r>
      <w:r>
        <w:rPr>
          <w:rFonts w:ascii="Times New Roman" w:hAnsi="Times New Roman" w:cs="Times New Roman"/>
          <w:sz w:val="28"/>
          <w:szCs w:val="28"/>
        </w:rPr>
        <w:t xml:space="preserve">54 (в </w:t>
      </w:r>
      <w:r>
        <w:rPr>
          <w:rFonts w:ascii="Times New Roman" w:hAnsi="Times New Roman" w:cs="Times New Roman"/>
          <w:sz w:val="28"/>
          <w:szCs w:val="28"/>
        </w:rPr>
        <w:t xml:space="preserve">апреле 2023</w:t>
      </w:r>
      <w:r>
        <w:rPr>
          <w:rFonts w:ascii="Times New Roman" w:hAnsi="Times New Roman" w:cs="Times New Roman"/>
          <w:sz w:val="28"/>
          <w:szCs w:val="28"/>
        </w:rPr>
        <w:t xml:space="preserve"> года- 129</w:t>
      </w:r>
      <w:r>
        <w:rPr>
          <w:rFonts w:ascii="Times New Roman" w:hAnsi="Times New Roman" w:cs="Times New Roman"/>
          <w:sz w:val="28"/>
          <w:szCs w:val="28"/>
        </w:rPr>
        <w:t xml:space="preserve"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мае </w:t>
      </w:r>
      <w:r>
        <w:rPr>
          <w:rFonts w:ascii="Times New Roman" w:hAnsi="Times New Roman" w:cs="Times New Roman"/>
          <w:sz w:val="28"/>
          <w:szCs w:val="28"/>
        </w:rPr>
        <w:t xml:space="preserve">2022</w:t>
      </w:r>
      <w:r>
        <w:rPr>
          <w:rFonts w:ascii="Times New Roman" w:hAnsi="Times New Roman" w:cs="Times New Roman"/>
          <w:sz w:val="28"/>
          <w:szCs w:val="28"/>
        </w:rPr>
        <w:t xml:space="preserve"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было 122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индивидуальн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ых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Количеств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о поступивших обращений в мае месяце текущего года увеличилось в сравнении с апрелем на 19% (на 25 обращений), с маем прошлого года на 26% (на 32 обращения). </w:t>
      </w:r>
      <w:r/>
    </w:p>
    <w:p>
      <w:pPr>
        <w:jc w:val="both"/>
        <w:spacing w:line="276" w:lineRule="auto"/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Из общего количеств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а обращений в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мае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2023 года, зарегистрировано 1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24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письменных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обращений, в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апреле 2023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года-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1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29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письменных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обращений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, а в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мае 2022 года 82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пи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сьменных обращени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я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Количество п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исьменных обращений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в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мае и апреле месяце почти не изменилось, а с маем прошлого года количество увеличилось на 51% (на 42 обращения). </w:t>
      </w:r>
      <w:r/>
    </w:p>
    <w:p>
      <w:pPr>
        <w:jc w:val="both"/>
        <w:spacing w:line="276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Тематика вопросов, содержащихся в письменных обращениях граждан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,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поступивших в управление дорожного комплекса министерства тран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спорта и дорожного хозяйства Новосибирской области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:</w:t>
      </w:r>
      <w:r/>
    </w:p>
    <w:p>
      <w:pPr>
        <w:jc w:val="both"/>
        <w:spacing w:line="276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- </w:t>
      </w:r>
      <w:r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Комплексное благоустройство</w:t>
      </w:r>
      <w:r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;</w:t>
      </w:r>
      <w:r/>
    </w:p>
    <w:p>
      <w:pPr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-</w:t>
      </w:r>
      <w:r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Транспортное обслуживание населения, пассажирские перевозки;</w:t>
      </w:r>
      <w:r/>
    </w:p>
    <w:p>
      <w:pPr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-</w:t>
      </w:r>
      <w:r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Городской, сельский и междугородний пассажирский транспорт;</w:t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-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Строительство и реконструкция автомобильных дорог;</w:t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-Платежные системы;</w:t>
      </w:r>
      <w:r/>
    </w:p>
    <w:p>
      <w:pPr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- </w:t>
      </w:r>
      <w:r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Управление транспортом. Работа руководителей транспортных организаций.</w:t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-Борьба с аварийностью. Безопасность дорожного движения;</w:t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-Эксплуатация и сохранность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автомобильных дорог;</w:t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-Содержание транспортной инфраструктуры;</w:t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-Благоустройство и ремонт подъездн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ых дорог, в том числе тротуаров;</w:t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-Тарифы, сборы и льготы на транспортные услуги;</w:t>
      </w:r>
      <w:r/>
    </w:p>
    <w:p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-Благодарности, приглашения, поздравления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органу местного самоуправления.</w:t>
      </w:r>
      <w:r/>
    </w:p>
    <w:p>
      <w:pPr>
        <w:jc w:val="both"/>
        <w:rPr>
          <w:rStyle w:val="819"/>
          <w:rFonts w:ascii="Times New Roman" w:hAnsi="Times New Roman"/>
          <w:b w:val="0"/>
          <w:color w:val="000000" w:themeColor="text1"/>
          <w:sz w:val="28"/>
          <w:szCs w:val="28"/>
        </w:rPr>
      </w:pP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На все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154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обращения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даны разъяснения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и направлены ответы заявителям.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/>
    </w:p>
    <w:p>
      <w:pPr>
        <w:jc w:val="both"/>
        <w:spacing w:line="276" w:lineRule="auto"/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/>
          <w:b w:val="0"/>
          <w:bCs/>
          <w:color w:val="000000" w:themeColor="text1"/>
          <w:sz w:val="28"/>
          <w:szCs w:val="28"/>
        </w:rPr>
      </w:r>
      <w:r/>
    </w:p>
    <w:p>
      <w:pPr>
        <w:jc w:val="both"/>
        <w:spacing w:line="276" w:lineRule="auto"/>
        <w:rPr>
          <w:rFonts w:ascii="Times New Roman" w:hAnsi="Times New Roman" w:cs="Times New Roman"/>
          <w:sz w:val="28"/>
          <w:szCs w:val="28"/>
        </w:rPr>
        <w:sectPr>
          <w:footnotePr/>
          <w:endnotePr/>
          <w:type w:val="nextPage"/>
          <w:pgSz w:w="11906" w:h="16838" w:orient="portrait"/>
          <w:pgMar w:top="709" w:right="992" w:bottom="284" w:left="567" w:header="709" w:footer="709" w:gutter="0"/>
          <w:cols w:num="1" w:sep="0" w:space="708" w:equalWidth="1"/>
          <w:docGrid w:linePitch="360"/>
        </w:sectPr>
      </w:pPr>
      <w:r>
        <w:rPr>
          <w:rStyle w:val="819"/>
          <w:rFonts w:ascii="Times New Roman" w:hAnsi="Times New Roman"/>
          <w:b w:val="0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398" cy="3200397"/>
            <wp:effectExtent l="4762" t="4762" r="4762" b="4762"/>
            <wp:docPr id="1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  <w:r/>
    </w:p>
    <w:p>
      <w:pPr>
        <w:jc w:val="both"/>
        <w:spacing w:line="276" w:lineRule="auto"/>
        <w:rPr>
          <w:rFonts w:ascii="Times New Roman" w:hAnsi="Times New Roman" w:cs="Times New Roman"/>
          <w:sz w:val="28"/>
          <w:szCs w:val="28"/>
          <w:lang w:eastAsia="ru-RU"/>
        </w:rPr>
        <w:sectPr>
          <w:footnotePr/>
          <w:endnotePr/>
          <w:type w:val="continuous"/>
          <w:pgSz w:w="11906" w:h="16838" w:orient="portrait"/>
          <w:pgMar w:top="709" w:right="993" w:bottom="284" w:left="851" w:header="708" w:footer="708" w:gutter="0"/>
          <w:cols w:num="3" w:sep="0" w:space="708" w:equalWidth="1"/>
          <w:docGrid w:linePitch="360"/>
        </w:sectPr>
      </w:pPr>
      <w:r>
        <w:rPr>
          <w:rFonts w:ascii="Times New Roman" w:hAnsi="Times New Roman" w:cs="Times New Roman"/>
          <w:sz w:val="28"/>
          <w:szCs w:val="28"/>
          <w:lang w:eastAsia="ru-RU"/>
        </w:rPr>
      </w:r>
      <w:r/>
    </w:p>
    <w:p>
      <w:pPr>
        <w:jc w:val="both"/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состоянию на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31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.0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5.2023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 поступившие в министерство обращения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зарегистрированы.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28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обращени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управлени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асти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;</w:t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126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обращени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епосредственно в министерство.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мае 2023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 зарег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ист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ировано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19 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аявлений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апреле 2023 было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 заявле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ний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мае 2022 было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18 заявлений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Количество заявлений в равнении с месяцами не изменилось.</w:t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398" cy="3200394"/>
            <wp:effectExtent l="4762" t="4762" r="4762" b="4762"/>
            <wp:docPr id="2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  <w:r/>
    </w:p>
    <w:p>
      <w:pPr>
        <w:shd w:val="clear" w:color="auto" w:fill="ffffff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мае и апреле 2023 года устных обращений не поступало.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мае 2022 года поступило 1 устное обращение. (о социальных льготах на межмуниципальном маршруте регулярных перевозок).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. </w:t>
      </w:r>
      <w:r/>
    </w:p>
    <w:p>
      <w:pPr>
        <w:shd w:val="clear" w:color="auto" w:fill="ffffff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        По смс-сообщению в данных месяцах обращений не поступало. </w:t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  <w:highlight w:val="non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color w:val="4f81bd" w:themeColor="accen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мае 20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зарегистрировано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100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жалоб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(в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апреле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61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жалоб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а, 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мае 2022 года –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60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жалоб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Количество жалоб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мае месяце увеличилось в сравнении с апрелем текущего года и маем прошлого года на 64% (на 39 жалоб).</w:t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none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none"/>
        </w:rPr>
      </w:r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398" cy="3200394"/>
            <wp:effectExtent l="4762" t="4762" r="4762" b="4762"/>
            <wp:docPr id="3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none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none"/>
        </w:rPr>
      </w:r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  <w:highlight w:val="non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На личный прием к министру в мае месяце обратилось двое граждан. </w:t>
      </w:r>
      <w:r>
        <w:rPr>
          <w:rFonts w:ascii="Times New Roman" w:hAnsi="Times New Roman" w:eastAsia="Verdana" w:cs="Times New Roman"/>
          <w:color w:val="000000"/>
          <w:sz w:val="28"/>
          <w:highlight w:val="white"/>
        </w:rPr>
        <w:t xml:space="preserve">О транспортном обеспечении жителей ДНП "Марусино", Криводановского сельсовета Новосибирского района Новосибирской области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>
        <w:rPr>
          <w:rFonts w:ascii="Times New Roman" w:hAnsi="Times New Roman" w:eastAsia="Verdana" w:cs="Times New Roman"/>
          <w:color w:val="000000"/>
          <w:sz w:val="28"/>
          <w:highlight w:val="white"/>
        </w:rPr>
        <w:t xml:space="preserve">Об обеспечении безопасности дорожного движения на а/дороге Р-256 "Чингис-Завьялово"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</w:t>
      </w:r>
      <w:r>
        <w:rPr>
          <w:rFonts w:ascii="Times New Roman" w:hAnsi="Times New Roman" w:cs="Times New Roman"/>
        </w:rPr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П</w:t>
      </w:r>
      <w:r>
        <w:rPr>
          <w:rFonts w:ascii="Times New Roman" w:hAnsi="Times New Roman" w:cs="Times New Roman"/>
          <w:sz w:val="28"/>
          <w:szCs w:val="28"/>
        </w:rPr>
        <w:t xml:space="preserve">о данным вопросам заявителям даны устные разъяснения в ходе личного</w:t>
      </w:r>
      <w:r>
        <w:rPr>
          <w:rFonts w:ascii="Times New Roman" w:hAnsi="Times New Roman" w:cs="Times New Roman"/>
          <w:sz w:val="28"/>
          <w:szCs w:val="28"/>
        </w:rPr>
        <w:t xml:space="preserve"> приёма и были </w:t>
      </w:r>
      <w:r>
        <w:rPr>
          <w:rFonts w:ascii="Times New Roman" w:hAnsi="Times New Roman" w:cs="Times New Roman"/>
          <w:sz w:val="28"/>
          <w:szCs w:val="28"/>
        </w:rPr>
        <w:t xml:space="preserve">даны</w:t>
      </w:r>
      <w:r>
        <w:rPr>
          <w:rFonts w:ascii="Times New Roman" w:hAnsi="Times New Roman" w:cs="Times New Roman"/>
          <w:sz w:val="28"/>
          <w:szCs w:val="28"/>
        </w:rPr>
        <w:t xml:space="preserve"> письменные ответы в установленные законом сроки.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/>
    </w:p>
    <w:p>
      <w:pPr>
        <w:jc w:val="both"/>
        <w:spacing w:line="276" w:lineRule="auto"/>
        <w:shd w:val="clear" w:color="auto" w:fill="ffffff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>
        <w:rPr>
          <w:rFonts w:ascii="Verdana" w:hAnsi="Verdana" w:eastAsia="Times New Roman" w:cs="Times New Roman"/>
          <w:color w:val="ff0000"/>
          <w:sz w:val="28"/>
          <w:szCs w:val="28"/>
          <w:lang w:eastAsia="ru-RU"/>
        </w:rPr>
        <w:t xml:space="preserve"> </w:t>
      </w:r>
      <w:r>
        <w:rPr>
          <w:rFonts w:ascii="Verdana" w:hAnsi="Verdana" w:eastAsia="Times New Roman" w:cs="Times New Roman"/>
          <w:color w:val="ff0000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мае месяце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предложений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 поступало, зарегистрировано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5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запрос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/>
    </w:p>
    <w:p>
      <w:pPr>
        <w:jc w:val="both"/>
        <w:spacing w:line="276" w:lineRule="auto"/>
        <w:shd w:val="clear" w:color="auto" w:fill="ffffff"/>
        <w:rPr>
          <w:rFonts w:ascii="Verdana" w:hAnsi="Verdana" w:eastAsia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>
        <w:rPr>
          <w:rFonts w:ascii="Verdana" w:hAnsi="Verdana" w:eastAsia="Times New Roman" w:cs="Times New Roman"/>
          <w:color w:val="ff0000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результатам рассмотрени</w:t>
      </w:r>
      <w:r>
        <w:rPr>
          <w:rFonts w:ascii="Times New Roman" w:hAnsi="Times New Roman" w:cs="Times New Roman"/>
          <w:sz w:val="28"/>
          <w:szCs w:val="28"/>
        </w:rPr>
        <w:t xml:space="preserve">я направлены ответы заявителям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электронном виде,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форме д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 </w:t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Все обращени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Федеральным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законом от 02.05.2006 № 59-ФЗ «О порядке рассмотрения обращений граждан Российской Федерации»,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проведению личного приема граждан в ми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нистерстве транспорта и дорожного хозяйства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министерства от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25.01.2013 №20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/>
    </w:p>
    <w:p>
      <w:pPr>
        <w:jc w:val="both"/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За</w:t>
      </w:r>
      <w:r>
        <w:rPr>
          <w:rFonts w:ascii="Times New Roman" w:hAnsi="Times New Roman" w:cs="Times New Roman"/>
          <w:sz w:val="28"/>
          <w:szCs w:val="28"/>
        </w:rPr>
        <w:t xml:space="preserve">явителям даны письменные ответы</w:t>
      </w:r>
      <w:r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  <w:r/>
    </w:p>
    <w:p>
      <w:pPr>
        <w:jc w:val="both"/>
        <w:spacing w:line="276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Организация работы с обращениями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граждан в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министерстве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позвол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ила в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мае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2023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года обеспечить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своевременное,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объективное и всестороннее р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ассмотрение обращений граждан,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/>
    </w:p>
    <w:sectPr>
      <w:footnotePr/>
      <w:endnotePr/>
      <w:type w:val="continuous"/>
      <w:pgSz w:w="11906" w:h="16838" w:orient="portrait"/>
      <w:pgMar w:top="709" w:right="993" w:bottom="284" w:left="85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Verdana">
    <w:panose1 w:val="020B0604030504040204"/>
  </w:font>
  <w:font w:name="Wingdings">
    <w:panose1 w:val="05000000000000000000"/>
  </w:font>
  <w:font w:name="Courier New">
    <w:panose1 w:val="02070309020205020404"/>
  </w:font>
  <w:font w:name="Symbol">
    <w:panose1 w:val="05050102010706020507"/>
  </w:font>
  <w:font w:name="Tahoma">
    <w:panose1 w:val="020B0604030504040204"/>
  </w:font>
  <w:font w:name="Times New Roman">
    <w:panose1 w:val="02020603050405020304"/>
  </w:font>
  <w:font w:name="Calibri">
    <w:panose1 w:val="020F050202020403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4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60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6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4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60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6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40">
    <w:name w:val="Heading 1"/>
    <w:basedOn w:val="814"/>
    <w:next w:val="814"/>
    <w:link w:val="641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41">
    <w:name w:val="Heading 1 Char"/>
    <w:basedOn w:val="815"/>
    <w:link w:val="640"/>
    <w:uiPriority w:val="9"/>
    <w:rPr>
      <w:rFonts w:ascii="Arial" w:hAnsi="Arial" w:eastAsia="Arial" w:cs="Arial"/>
      <w:sz w:val="40"/>
      <w:szCs w:val="40"/>
    </w:rPr>
  </w:style>
  <w:style w:type="paragraph" w:styleId="642">
    <w:name w:val="Heading 2"/>
    <w:basedOn w:val="814"/>
    <w:next w:val="814"/>
    <w:link w:val="643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43">
    <w:name w:val="Heading 2 Char"/>
    <w:basedOn w:val="815"/>
    <w:link w:val="642"/>
    <w:uiPriority w:val="9"/>
    <w:rPr>
      <w:rFonts w:ascii="Arial" w:hAnsi="Arial" w:eastAsia="Arial" w:cs="Arial"/>
      <w:sz w:val="34"/>
    </w:rPr>
  </w:style>
  <w:style w:type="paragraph" w:styleId="644">
    <w:name w:val="Heading 3"/>
    <w:basedOn w:val="814"/>
    <w:next w:val="814"/>
    <w:link w:val="645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45">
    <w:name w:val="Heading 3 Char"/>
    <w:basedOn w:val="815"/>
    <w:link w:val="644"/>
    <w:uiPriority w:val="9"/>
    <w:rPr>
      <w:rFonts w:ascii="Arial" w:hAnsi="Arial" w:eastAsia="Arial" w:cs="Arial"/>
      <w:sz w:val="30"/>
      <w:szCs w:val="30"/>
    </w:rPr>
  </w:style>
  <w:style w:type="paragraph" w:styleId="646">
    <w:name w:val="Heading 4"/>
    <w:basedOn w:val="814"/>
    <w:next w:val="814"/>
    <w:link w:val="647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47">
    <w:name w:val="Heading 4 Char"/>
    <w:basedOn w:val="815"/>
    <w:link w:val="646"/>
    <w:uiPriority w:val="9"/>
    <w:rPr>
      <w:rFonts w:ascii="Arial" w:hAnsi="Arial" w:eastAsia="Arial" w:cs="Arial"/>
      <w:b/>
      <w:bCs/>
      <w:sz w:val="26"/>
      <w:szCs w:val="26"/>
    </w:rPr>
  </w:style>
  <w:style w:type="paragraph" w:styleId="648">
    <w:name w:val="Heading 5"/>
    <w:basedOn w:val="814"/>
    <w:next w:val="814"/>
    <w:link w:val="649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49">
    <w:name w:val="Heading 5 Char"/>
    <w:basedOn w:val="815"/>
    <w:link w:val="648"/>
    <w:uiPriority w:val="9"/>
    <w:rPr>
      <w:rFonts w:ascii="Arial" w:hAnsi="Arial" w:eastAsia="Arial" w:cs="Arial"/>
      <w:b/>
      <w:bCs/>
      <w:sz w:val="24"/>
      <w:szCs w:val="24"/>
    </w:rPr>
  </w:style>
  <w:style w:type="paragraph" w:styleId="650">
    <w:name w:val="Heading 6"/>
    <w:basedOn w:val="814"/>
    <w:next w:val="814"/>
    <w:link w:val="651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51">
    <w:name w:val="Heading 6 Char"/>
    <w:basedOn w:val="815"/>
    <w:link w:val="650"/>
    <w:uiPriority w:val="9"/>
    <w:rPr>
      <w:rFonts w:ascii="Arial" w:hAnsi="Arial" w:eastAsia="Arial" w:cs="Arial"/>
      <w:b/>
      <w:bCs/>
      <w:sz w:val="22"/>
      <w:szCs w:val="22"/>
    </w:rPr>
  </w:style>
  <w:style w:type="paragraph" w:styleId="652">
    <w:name w:val="Heading 7"/>
    <w:basedOn w:val="814"/>
    <w:next w:val="814"/>
    <w:link w:val="653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53">
    <w:name w:val="Heading 7 Char"/>
    <w:basedOn w:val="815"/>
    <w:link w:val="652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54">
    <w:name w:val="Heading 8"/>
    <w:basedOn w:val="814"/>
    <w:next w:val="814"/>
    <w:link w:val="655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55">
    <w:name w:val="Heading 8 Char"/>
    <w:basedOn w:val="815"/>
    <w:link w:val="654"/>
    <w:uiPriority w:val="9"/>
    <w:rPr>
      <w:rFonts w:ascii="Arial" w:hAnsi="Arial" w:eastAsia="Arial" w:cs="Arial"/>
      <w:i/>
      <w:iCs/>
      <w:sz w:val="22"/>
      <w:szCs w:val="22"/>
    </w:rPr>
  </w:style>
  <w:style w:type="paragraph" w:styleId="656">
    <w:name w:val="Heading 9"/>
    <w:basedOn w:val="814"/>
    <w:next w:val="814"/>
    <w:link w:val="657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57">
    <w:name w:val="Heading 9 Char"/>
    <w:basedOn w:val="815"/>
    <w:link w:val="656"/>
    <w:uiPriority w:val="9"/>
    <w:rPr>
      <w:rFonts w:ascii="Arial" w:hAnsi="Arial" w:eastAsia="Arial" w:cs="Arial"/>
      <w:i/>
      <w:iCs/>
      <w:sz w:val="21"/>
      <w:szCs w:val="21"/>
    </w:rPr>
  </w:style>
  <w:style w:type="paragraph" w:styleId="658">
    <w:name w:val="No Spacing"/>
    <w:uiPriority w:val="1"/>
    <w:qFormat/>
    <w:pPr>
      <w:spacing w:before="0" w:after="0" w:line="240" w:lineRule="auto"/>
    </w:pPr>
  </w:style>
  <w:style w:type="paragraph" w:styleId="659">
    <w:name w:val="Title"/>
    <w:basedOn w:val="814"/>
    <w:next w:val="814"/>
    <w:link w:val="660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60">
    <w:name w:val="Title Char"/>
    <w:basedOn w:val="815"/>
    <w:link w:val="659"/>
    <w:uiPriority w:val="10"/>
    <w:rPr>
      <w:sz w:val="48"/>
      <w:szCs w:val="48"/>
    </w:rPr>
  </w:style>
  <w:style w:type="paragraph" w:styleId="661">
    <w:name w:val="Subtitle"/>
    <w:basedOn w:val="814"/>
    <w:next w:val="814"/>
    <w:link w:val="662"/>
    <w:uiPriority w:val="11"/>
    <w:qFormat/>
    <w:pPr>
      <w:spacing w:before="200" w:after="200"/>
    </w:pPr>
    <w:rPr>
      <w:sz w:val="24"/>
      <w:szCs w:val="24"/>
    </w:rPr>
  </w:style>
  <w:style w:type="character" w:styleId="662">
    <w:name w:val="Subtitle Char"/>
    <w:basedOn w:val="815"/>
    <w:link w:val="661"/>
    <w:uiPriority w:val="11"/>
    <w:rPr>
      <w:sz w:val="24"/>
      <w:szCs w:val="24"/>
    </w:rPr>
  </w:style>
  <w:style w:type="paragraph" w:styleId="663">
    <w:name w:val="Quote"/>
    <w:basedOn w:val="814"/>
    <w:next w:val="814"/>
    <w:link w:val="664"/>
    <w:uiPriority w:val="29"/>
    <w:qFormat/>
    <w:pPr>
      <w:ind w:left="720" w:right="720"/>
    </w:pPr>
    <w:rPr>
      <w:i/>
    </w:rPr>
  </w:style>
  <w:style w:type="character" w:styleId="664">
    <w:name w:val="Quote Char"/>
    <w:link w:val="663"/>
    <w:uiPriority w:val="29"/>
    <w:rPr>
      <w:i/>
    </w:rPr>
  </w:style>
  <w:style w:type="paragraph" w:styleId="665">
    <w:name w:val="Intense Quote"/>
    <w:basedOn w:val="814"/>
    <w:next w:val="814"/>
    <w:link w:val="666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66">
    <w:name w:val="Intense Quote Char"/>
    <w:link w:val="665"/>
    <w:uiPriority w:val="30"/>
    <w:rPr>
      <w:i/>
    </w:rPr>
  </w:style>
  <w:style w:type="character" w:styleId="667">
    <w:name w:val="Header Char"/>
    <w:basedOn w:val="815"/>
    <w:link w:val="823"/>
    <w:uiPriority w:val="99"/>
  </w:style>
  <w:style w:type="character" w:styleId="668">
    <w:name w:val="Footer Char"/>
    <w:basedOn w:val="815"/>
    <w:link w:val="825"/>
    <w:uiPriority w:val="99"/>
  </w:style>
  <w:style w:type="paragraph" w:styleId="669">
    <w:name w:val="Caption"/>
    <w:basedOn w:val="814"/>
    <w:next w:val="814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70">
    <w:name w:val="Caption Char"/>
    <w:basedOn w:val="669"/>
    <w:link w:val="825"/>
    <w:uiPriority w:val="99"/>
  </w:style>
  <w:style w:type="table" w:styleId="671">
    <w:name w:val="Table Grid Light"/>
    <w:basedOn w:val="81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72">
    <w:name w:val="Plain Table 1"/>
    <w:basedOn w:val="81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73">
    <w:name w:val="Plain Table 2"/>
    <w:basedOn w:val="816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74">
    <w:name w:val="Plain Table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75">
    <w:name w:val="Plain Table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6">
    <w:name w:val="Plain Table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77">
    <w:name w:val="Grid Table 1 Light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8">
    <w:name w:val="Grid Table 1 Light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9">
    <w:name w:val="Grid Table 1 Light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0">
    <w:name w:val="Grid Table 1 Light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1">
    <w:name w:val="Grid Table 1 Light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2">
    <w:name w:val="Grid Table 1 Light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3">
    <w:name w:val="Grid Table 1 Light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4">
    <w:name w:val="Grid Table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5">
    <w:name w:val="Grid Table 2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6">
    <w:name w:val="Grid Table 2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7">
    <w:name w:val="Grid Table 2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8">
    <w:name w:val="Grid Table 2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9">
    <w:name w:val="Grid Table 2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0">
    <w:name w:val="Grid Table 2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1">
    <w:name w:val="Grid Table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2">
    <w:name w:val="Grid Table 3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3">
    <w:name w:val="Grid Table 3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4">
    <w:name w:val="Grid Table 3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5">
    <w:name w:val="Grid Table 3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6">
    <w:name w:val="Grid Table 3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7">
    <w:name w:val="Grid Table 3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8">
    <w:name w:val="Grid Table 4"/>
    <w:basedOn w:val="81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699">
    <w:name w:val="Grid Table 4 - Accent 1"/>
    <w:basedOn w:val="81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00">
    <w:name w:val="Grid Table 4 - Accent 2"/>
    <w:basedOn w:val="81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01">
    <w:name w:val="Grid Table 4 - Accent 3"/>
    <w:basedOn w:val="81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02">
    <w:name w:val="Grid Table 4 - Accent 4"/>
    <w:basedOn w:val="81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03">
    <w:name w:val="Grid Table 4 - Accent 5"/>
    <w:basedOn w:val="81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04">
    <w:name w:val="Grid Table 4 - Accent 6"/>
    <w:basedOn w:val="81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05">
    <w:name w:val="Grid Table 5 Dark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06">
    <w:name w:val="Grid Table 5 Dark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07">
    <w:name w:val="Grid Table 5 Dark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08">
    <w:name w:val="Grid Table 5 Dark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09">
    <w:name w:val="Grid Table 5 Dark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10">
    <w:name w:val="Grid Table 5 Dark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11">
    <w:name w:val="Grid Table 5 Dark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12">
    <w:name w:val="Grid Table 6 Colorful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13">
    <w:name w:val="Grid Table 6 Colorful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14">
    <w:name w:val="Grid Table 6 Colorful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15">
    <w:name w:val="Grid Table 6 Colorful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16">
    <w:name w:val="Grid Table 6 Colorful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17">
    <w:name w:val="Grid Table 6 Colorful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18">
    <w:name w:val="Grid Table 6 Colorful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19">
    <w:name w:val="Grid Table 7 Colorful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7 Colorful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7 Colorful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7 Colorful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7 Colorful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Grid Table 7 Colorful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>
    <w:name w:val="Grid Table 7 Colorful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>
    <w:name w:val="List Table 1 Light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>
    <w:name w:val="List Table 1 Light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>
    <w:name w:val="List Table 1 Light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>
    <w:name w:val="List Table 1 Light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List Table 1 Light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List Table 1 Light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>
    <w:name w:val="List Table 1 Light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>
    <w:name w:val="List Table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34">
    <w:name w:val="List Table 2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35">
    <w:name w:val="List Table 2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36">
    <w:name w:val="List Table 2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37">
    <w:name w:val="List Table 2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38">
    <w:name w:val="List Table 2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39">
    <w:name w:val="List Table 2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40">
    <w:name w:val="List Table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1">
    <w:name w:val="List Table 3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2">
    <w:name w:val="List Table 3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3">
    <w:name w:val="List Table 3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4">
    <w:name w:val="List Table 3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5">
    <w:name w:val="List Table 3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6">
    <w:name w:val="List Table 3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7">
    <w:name w:val="List Table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8">
    <w:name w:val="List Table 4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9">
    <w:name w:val="List Table 4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0">
    <w:name w:val="List Table 4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1">
    <w:name w:val="List Table 4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2">
    <w:name w:val="List Table 4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3">
    <w:name w:val="List Table 4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4">
    <w:name w:val="List Table 5 Dark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5">
    <w:name w:val="List Table 5 Dark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6">
    <w:name w:val="List Table 5 Dark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7">
    <w:name w:val="List Table 5 Dark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8">
    <w:name w:val="List Table 5 Dark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9">
    <w:name w:val="List Table 5 Dark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0">
    <w:name w:val="List Table 5 Dark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1">
    <w:name w:val="List Table 6 Colorful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62">
    <w:name w:val="List Table 6 Colorful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63">
    <w:name w:val="List Table 6 Colorful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64">
    <w:name w:val="List Table 6 Colorful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65">
    <w:name w:val="List Table 6 Colorful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66">
    <w:name w:val="List Table 6 Colorful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67">
    <w:name w:val="List Table 6 Colorful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68">
    <w:name w:val="List Table 7 Colorful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69">
    <w:name w:val="List Table 7 Colorful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70">
    <w:name w:val="List Table 7 Colorful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71">
    <w:name w:val="List Table 7 Colorful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72">
    <w:name w:val="List Table 7 Colorful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73">
    <w:name w:val="List Table 7 Colorful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74">
    <w:name w:val="List Table 7 Colorful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75">
    <w:name w:val="Lined - Accent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76">
    <w:name w:val="Lined - Accent 1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77">
    <w:name w:val="Lined - Accent 2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78">
    <w:name w:val="Lined - Accent 3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79">
    <w:name w:val="Lined - Accent 4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80">
    <w:name w:val="Lined - Accent 5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81">
    <w:name w:val="Lined - Accent 6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82">
    <w:name w:val="Bordered &amp; Lined - Accent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83">
    <w:name w:val="Bordered &amp; Lined - Accent 1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84">
    <w:name w:val="Bordered &amp; Lined - Accent 2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85">
    <w:name w:val="Bordered &amp; Lined - Accent 3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86">
    <w:name w:val="Bordered &amp; Lined - Accent 4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87">
    <w:name w:val="Bordered &amp; Lined - Accent 5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88">
    <w:name w:val="Bordered &amp; Lined - Accent 6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89">
    <w:name w:val="Bordered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790">
    <w:name w:val="Bordered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791">
    <w:name w:val="Bordered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792">
    <w:name w:val="Bordered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793">
    <w:name w:val="Bordered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794">
    <w:name w:val="Bordered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795">
    <w:name w:val="Bordered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796">
    <w:name w:val="Hyperlink"/>
    <w:uiPriority w:val="99"/>
    <w:unhideWhenUsed/>
    <w:rPr>
      <w:color w:val="0000ff" w:themeColor="hyperlink"/>
      <w:u w:val="single"/>
    </w:rPr>
  </w:style>
  <w:style w:type="paragraph" w:styleId="797">
    <w:name w:val="footnote text"/>
    <w:basedOn w:val="814"/>
    <w:link w:val="798"/>
    <w:uiPriority w:val="99"/>
    <w:semiHidden/>
    <w:unhideWhenUsed/>
    <w:pPr>
      <w:spacing w:after="40" w:line="240" w:lineRule="auto"/>
    </w:pPr>
    <w:rPr>
      <w:sz w:val="18"/>
    </w:rPr>
  </w:style>
  <w:style w:type="character" w:styleId="798">
    <w:name w:val="Footnote Text Char"/>
    <w:link w:val="797"/>
    <w:uiPriority w:val="99"/>
    <w:rPr>
      <w:sz w:val="18"/>
    </w:rPr>
  </w:style>
  <w:style w:type="character" w:styleId="799">
    <w:name w:val="footnote reference"/>
    <w:basedOn w:val="815"/>
    <w:uiPriority w:val="99"/>
    <w:unhideWhenUsed/>
    <w:rPr>
      <w:vertAlign w:val="superscript"/>
    </w:rPr>
  </w:style>
  <w:style w:type="paragraph" w:styleId="800">
    <w:name w:val="endnote text"/>
    <w:basedOn w:val="814"/>
    <w:link w:val="801"/>
    <w:uiPriority w:val="99"/>
    <w:semiHidden/>
    <w:unhideWhenUsed/>
    <w:pPr>
      <w:spacing w:after="0" w:line="240" w:lineRule="auto"/>
    </w:pPr>
    <w:rPr>
      <w:sz w:val="20"/>
    </w:rPr>
  </w:style>
  <w:style w:type="character" w:styleId="801">
    <w:name w:val="Endnote Text Char"/>
    <w:link w:val="800"/>
    <w:uiPriority w:val="99"/>
    <w:rPr>
      <w:sz w:val="20"/>
    </w:rPr>
  </w:style>
  <w:style w:type="character" w:styleId="802">
    <w:name w:val="endnote reference"/>
    <w:basedOn w:val="815"/>
    <w:uiPriority w:val="99"/>
    <w:semiHidden/>
    <w:unhideWhenUsed/>
    <w:rPr>
      <w:vertAlign w:val="superscript"/>
    </w:rPr>
  </w:style>
  <w:style w:type="paragraph" w:styleId="803">
    <w:name w:val="toc 1"/>
    <w:basedOn w:val="814"/>
    <w:next w:val="814"/>
    <w:uiPriority w:val="39"/>
    <w:unhideWhenUsed/>
    <w:pPr>
      <w:ind w:left="0" w:right="0" w:firstLine="0"/>
      <w:spacing w:after="57"/>
    </w:pPr>
  </w:style>
  <w:style w:type="paragraph" w:styleId="804">
    <w:name w:val="toc 2"/>
    <w:basedOn w:val="814"/>
    <w:next w:val="814"/>
    <w:uiPriority w:val="39"/>
    <w:unhideWhenUsed/>
    <w:pPr>
      <w:ind w:left="283" w:right="0" w:firstLine="0"/>
      <w:spacing w:after="57"/>
    </w:pPr>
  </w:style>
  <w:style w:type="paragraph" w:styleId="805">
    <w:name w:val="toc 3"/>
    <w:basedOn w:val="814"/>
    <w:next w:val="814"/>
    <w:uiPriority w:val="39"/>
    <w:unhideWhenUsed/>
    <w:pPr>
      <w:ind w:left="567" w:right="0" w:firstLine="0"/>
      <w:spacing w:after="57"/>
    </w:pPr>
  </w:style>
  <w:style w:type="paragraph" w:styleId="806">
    <w:name w:val="toc 4"/>
    <w:basedOn w:val="814"/>
    <w:next w:val="814"/>
    <w:uiPriority w:val="39"/>
    <w:unhideWhenUsed/>
    <w:pPr>
      <w:ind w:left="850" w:right="0" w:firstLine="0"/>
      <w:spacing w:after="57"/>
    </w:pPr>
  </w:style>
  <w:style w:type="paragraph" w:styleId="807">
    <w:name w:val="toc 5"/>
    <w:basedOn w:val="814"/>
    <w:next w:val="814"/>
    <w:uiPriority w:val="39"/>
    <w:unhideWhenUsed/>
    <w:pPr>
      <w:ind w:left="1134" w:right="0" w:firstLine="0"/>
      <w:spacing w:after="57"/>
    </w:pPr>
  </w:style>
  <w:style w:type="paragraph" w:styleId="808">
    <w:name w:val="toc 6"/>
    <w:basedOn w:val="814"/>
    <w:next w:val="814"/>
    <w:uiPriority w:val="39"/>
    <w:unhideWhenUsed/>
    <w:pPr>
      <w:ind w:left="1417" w:right="0" w:firstLine="0"/>
      <w:spacing w:after="57"/>
    </w:pPr>
  </w:style>
  <w:style w:type="paragraph" w:styleId="809">
    <w:name w:val="toc 7"/>
    <w:basedOn w:val="814"/>
    <w:next w:val="814"/>
    <w:uiPriority w:val="39"/>
    <w:unhideWhenUsed/>
    <w:pPr>
      <w:ind w:left="1701" w:right="0" w:firstLine="0"/>
      <w:spacing w:after="57"/>
    </w:pPr>
  </w:style>
  <w:style w:type="paragraph" w:styleId="810">
    <w:name w:val="toc 8"/>
    <w:basedOn w:val="814"/>
    <w:next w:val="814"/>
    <w:uiPriority w:val="39"/>
    <w:unhideWhenUsed/>
    <w:pPr>
      <w:ind w:left="1984" w:right="0" w:firstLine="0"/>
      <w:spacing w:after="57"/>
    </w:pPr>
  </w:style>
  <w:style w:type="paragraph" w:styleId="811">
    <w:name w:val="toc 9"/>
    <w:basedOn w:val="814"/>
    <w:next w:val="814"/>
    <w:uiPriority w:val="39"/>
    <w:unhideWhenUsed/>
    <w:pPr>
      <w:ind w:left="2268" w:right="0" w:firstLine="0"/>
      <w:spacing w:after="57"/>
    </w:pPr>
  </w:style>
  <w:style w:type="paragraph" w:styleId="812">
    <w:name w:val="TOC Heading"/>
    <w:uiPriority w:val="39"/>
    <w:unhideWhenUsed/>
  </w:style>
  <w:style w:type="paragraph" w:styleId="813">
    <w:name w:val="table of figures"/>
    <w:basedOn w:val="814"/>
    <w:next w:val="814"/>
    <w:uiPriority w:val="99"/>
    <w:unhideWhenUsed/>
    <w:pPr>
      <w:spacing w:after="0" w:afterAutospacing="0"/>
    </w:pPr>
  </w:style>
  <w:style w:type="paragraph" w:styleId="814" w:default="1">
    <w:name w:val="Normal"/>
    <w:qFormat/>
    <w:pPr>
      <w:spacing w:after="0" w:line="240" w:lineRule="auto"/>
    </w:pPr>
    <w:rPr>
      <w:rFonts w:ascii="Calibri" w:hAnsi="Calibri" w:cs="Calibri"/>
    </w:rPr>
  </w:style>
  <w:style w:type="character" w:styleId="815" w:default="1">
    <w:name w:val="Default Paragraph Font"/>
    <w:uiPriority w:val="1"/>
    <w:semiHidden/>
    <w:unhideWhenUsed/>
  </w:style>
  <w:style w:type="table" w:styleId="816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17" w:default="1">
    <w:name w:val="No List"/>
    <w:uiPriority w:val="99"/>
    <w:semiHidden/>
    <w:unhideWhenUsed/>
  </w:style>
  <w:style w:type="paragraph" w:styleId="818">
    <w:name w:val="List Paragraph"/>
    <w:basedOn w:val="814"/>
    <w:uiPriority w:val="34"/>
    <w:qFormat/>
    <w:pPr>
      <w:contextualSpacing/>
      <w:ind w:left="720"/>
    </w:pPr>
  </w:style>
  <w:style w:type="character" w:styleId="819">
    <w:name w:val="Strong"/>
    <w:basedOn w:val="815"/>
    <w:uiPriority w:val="22"/>
    <w:qFormat/>
    <w:rPr>
      <w:rFonts w:cs="Times New Roman"/>
      <w:b/>
    </w:rPr>
  </w:style>
  <w:style w:type="paragraph" w:styleId="820">
    <w:name w:val="Balloon Text"/>
    <w:basedOn w:val="814"/>
    <w:link w:val="821"/>
    <w:uiPriority w:val="99"/>
    <w:semiHidden/>
    <w:unhideWhenUsed/>
    <w:rPr>
      <w:rFonts w:ascii="Tahoma" w:hAnsi="Tahoma" w:cs="Tahoma"/>
      <w:sz w:val="16"/>
      <w:szCs w:val="16"/>
    </w:rPr>
  </w:style>
  <w:style w:type="character" w:styleId="821" w:customStyle="1">
    <w:name w:val="Текст выноски Знак"/>
    <w:basedOn w:val="815"/>
    <w:link w:val="820"/>
    <w:uiPriority w:val="99"/>
    <w:semiHidden/>
    <w:rPr>
      <w:rFonts w:ascii="Tahoma" w:hAnsi="Tahoma" w:cs="Tahoma"/>
      <w:sz w:val="16"/>
      <w:szCs w:val="16"/>
    </w:rPr>
  </w:style>
  <w:style w:type="table" w:styleId="822">
    <w:name w:val="Table Grid"/>
    <w:basedOn w:val="816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823">
    <w:name w:val="Header"/>
    <w:basedOn w:val="814"/>
    <w:link w:val="824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824" w:customStyle="1">
    <w:name w:val="Верхний колонтитул Знак"/>
    <w:basedOn w:val="815"/>
    <w:link w:val="823"/>
    <w:uiPriority w:val="99"/>
    <w:rPr>
      <w:rFonts w:ascii="Calibri" w:hAnsi="Calibri" w:cs="Calibri"/>
    </w:rPr>
  </w:style>
  <w:style w:type="paragraph" w:styleId="825">
    <w:name w:val="Footer"/>
    <w:basedOn w:val="814"/>
    <w:link w:val="826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826" w:customStyle="1">
    <w:name w:val="Нижний колонтитул Знак"/>
    <w:basedOn w:val="815"/>
    <w:link w:val="825"/>
    <w:uiPriority w:val="99"/>
    <w:rPr>
      <w:rFonts w:ascii="Calibri" w:hAnsi="Calibri" w:cs="Calibri"/>
    </w:rPr>
  </w:style>
  <w:style w:type="character" w:styleId="827" w:customStyle="1">
    <w:name w:val="gwt-inlinelabel"/>
    <w:basedOn w:val="815"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customXml" Target="../customXml/item1.xml" /><Relationship Id="rId10" Type="http://schemas.openxmlformats.org/officeDocument/2006/relationships/chart" Target="charts/chart1.xml" /><Relationship Id="rId11" Type="http://schemas.openxmlformats.org/officeDocument/2006/relationships/chart" Target="charts/chart2.xml" /><Relationship Id="rId12" Type="http://schemas.openxmlformats.org/officeDocument/2006/relationships/chart" Target="charts/chart3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charts/_rels/chart1.xml.rels><?xml version="1.0" encoding="UTF-8" standalone="yes"?><Relationships xmlns="http://schemas.openxmlformats.org/package/2006/relationships"><Relationship Id="rId1" Type="http://schemas.openxmlformats.org/officeDocument/2006/relationships/package" Target="../embeddings/Microsoft_Excel_Worksheet1.xlsx" /></Relationships>
</file>

<file path=word/charts/_rels/chart2.xml.rels><?xml version="1.0" encoding="UTF-8" standalone="yes"?><Relationships xmlns="http://schemas.openxmlformats.org/package/2006/relationships"><Relationship Id="rId1" Type="http://schemas.openxmlformats.org/officeDocument/2006/relationships/package" Target="../embeddings/Microsoft_Excel_Worksheet2.xlsx" /></Relationships>
</file>

<file path=word/charts/_rels/chart3.xml.rels><?xml version="1.0" encoding="UTF-8" standalone="yes"?><Relationships xmlns="http://schemas.openxmlformats.org/package/2006/relationships"><Relationship Id="rId1" Type="http://schemas.openxmlformats.org/officeDocument/2006/relationships/package" Target="../embeddings/Microsoft_Excel_Worksheet3.xlsx" 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mc="http://schemas.openxmlformats.org/markup-compatibility/2006" xmlns:c14="http://schemas.microsoft.com/office/drawing/2007/8/2/chart">
  <c:date1904 val="0"/>
  <c:lang val="ru-RU"/>
  <c:roundedCorners val="0"/>
  <mc:AlternateContent>
    <mc:Choice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Количество поступивших обращений в Минтранс НСО в</a:t>
            </a:r>
            <a:r>
              <a:rPr lang="ru-RU" sz="1400"/>
              <a:t> мае 2023 года в сравнении </a:t>
            </a:r>
            <a:r>
              <a:rPr lang="ru-RU" sz="1400"/>
              <a:t>с апрелем</a:t>
            </a:r>
            <a:r>
              <a:rPr lang="ru-RU" sz="1400"/>
              <a:t> 2023 года</a:t>
            </a:r>
            <a:endParaRPr/>
          </a:p>
          <a:p>
            <a:pPr>
              <a:defRPr/>
            </a:pPr>
            <a:r>
              <a:rPr lang="ru-RU" sz="1400"/>
              <a:t> и</a:t>
            </a:r>
            <a:r>
              <a:rPr lang="ru-RU" sz="1400"/>
              <a:t> маем</a:t>
            </a:r>
            <a:r>
              <a:rPr lang="ru-RU" sz="1400"/>
              <a:t> 2022 года</a:t>
            </a:r>
            <a:endParaRPr/>
          </a:p>
        </c:rich>
      </c:tx>
      <c:layout>
        <c:manualLayout>
          <c:xMode val="edge"/>
          <c:yMode val="edge"/>
          <c:x val="0.13539999999999999"/>
          <c:y val="0.043749999999999997"/>
        </c:manualLayout>
      </c:layout>
      <c:overlay val="0"/>
    </c:title>
    <c:autoTitleDeleted val="0"/>
    <c:plotArea>
      <c:layout/>
      <c:areaChart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 xml:space="preserve">май 2023 год</c:v>
                </c:pt>
              </c:strCache>
            </c:strRef>
          </c:tx>
          <c:spPr bwMode="auto">
            <a:prstGeom prst="rect">
              <a:avLst/>
            </a:prstGeom>
            <a:ln w="28575">
              <a:noFill/>
            </a:ln>
          </c:spPr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  <c:spPr bwMode="auto">
              <a:prstGeom prst="rect">
                <a:avLst/>
              </a:prstGeom>
              <a:noFill/>
              <a:ln>
                <a:noFill/>
              </a:ln>
              <a:effectLst/>
            </c:spPr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2">
                  <c:v>154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 xml:space="preserve">апрель 2023 год</c:v>
                </c:pt>
              </c:strCache>
            </c:strRef>
          </c:tx>
          <c:spPr bwMode="auto">
            <a:prstGeom prst="rect">
              <a:avLst/>
            </a:prstGeom>
            <a:ln w="28575">
              <a:noFill/>
            </a:ln>
          </c:spPr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  <c:spPr bwMode="auto">
              <a:prstGeom prst="rect">
                <a:avLst/>
              </a:prstGeom>
              <a:noFill/>
              <a:ln>
                <a:noFill/>
              </a:ln>
              <a:effectLst/>
            </c:spPr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2">
                  <c:v>129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 xml:space="preserve">май 2022 год</c:v>
                </c:pt>
              </c:strCache>
            </c:strRef>
          </c:tx>
          <c:spPr bwMode="auto">
            <a:prstGeom prst="rect">
              <a:avLst/>
            </a:prstGeom>
            <a:ln w="28575">
              <a:noFill/>
            </a:ln>
          </c:spPr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  <c:spPr bwMode="auto">
              <a:prstGeom prst="rect">
                <a:avLst/>
              </a:prstGeom>
              <a:noFill/>
              <a:ln>
                <a:noFill/>
              </a:ln>
              <a:effectLst/>
            </c:spPr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122</c:v>
                </c:pt>
              </c:numCache>
            </c:numRef>
          </c:val>
        </c:ser>
        <c:dLbls>
          <c:showBubbleSize val="0"/>
          <c:showCatName val="0"/>
          <c:showLeaderLines val="0"/>
          <c:showLegendKey val="0"/>
          <c:showPercent val="0"/>
          <c:showSerName val="0"/>
          <c:showVal val="0"/>
        </c:dLbls>
        <c:axId val="95185920"/>
        <c:axId val="95200000"/>
      </c:areaChart>
      <c:catAx>
        <c:axId val="95185920"/>
        <c:scaling>
          <c:orientation val="minMax"/>
        </c:scaling>
        <c:delete val="0"/>
        <c:axPos val="b"/>
        <c:minorGridlines>
          <c:spPr bwMode="auto"/>
        </c:minorGridlines>
        <c:numFmt formatCode="General" sourceLinked="1"/>
        <c:majorTickMark val="none"/>
        <c:minorTickMark val="none"/>
        <c:tickLblPos val="nextTo"/>
        <c:crossAx val="95200000"/>
        <c:crosses val="autoZero"/>
        <c:auto val="1"/>
        <c:lblAlgn val="ctr"/>
        <c:lblOffset val="100"/>
        <c:noMultiLvlLbl val="0"/>
      </c:catAx>
      <c:valAx>
        <c:axId val="95200000"/>
        <c:scaling>
          <c:orientation val="minMax"/>
        </c:scaling>
        <c:delete val="0"/>
        <c:axPos val="l"/>
        <c:minorGridlines>
          <c:spPr bwMode="auto"/>
        </c:minorGridlines>
        <c:numFmt formatCode="General" sourceLinked="1"/>
        <c:majorTickMark val="out"/>
        <c:minorTickMark val="none"/>
        <c:tickLblPos val="nextTo"/>
        <c:crossAx val="95185920"/>
        <c:crosses val="autoZero"/>
        <c:crossBetween val="midCat"/>
      </c:valAx>
    </c:plotArea>
    <c:legend>
      <c:legendPos val="t"/>
      <c:layout>
        <c:manualLayout>
          <c:x val="-0.00173"/>
          <c:y val="0"/>
        </c:manualLayout>
      </c:layout>
      <c:overlay val="0"/>
    </c:legend>
    <c:plotVisOnly val="1"/>
    <c:dispBlanksAs val="gap"/>
    <c:showDLblsOverMax val="0"/>
  </c:chart>
  <c:spPr bwMode="auto">
    <a:xfrm>
      <a:off x="0" y="0"/>
      <a:ext cx="5486397" cy="3200396"/>
    </a:xfrm>
  </c:sp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mc="http://schemas.openxmlformats.org/markup-compatibility/2006" xmlns:c14="http://schemas.microsoft.com/office/drawing/2007/8/2/chart">
  <c:date1904 val="0"/>
  <c:lang val="ru-RU"/>
  <c:roundedCorners val="0"/>
  <mc:AlternateContent>
    <mc:Choice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078670000000000004"/>
          <c:y val="0.044049999999999999"/>
          <c:w val="0.90281"/>
          <c:h val="0.74653000000000003"/>
        </c:manualLayout>
      </c:layout>
      <c:bar3DChart>
        <c:barDir val="col"/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</c:v>
                </c:pt>
              </c:strCache>
            </c:strRef>
          </c:tx>
          <c:invertIfNegative val="0"/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  <c:spPr bwMode="auto">
              <a:prstGeom prst="rect">
                <a:avLst/>
              </a:prstGeom>
              <a:noFill/>
              <a:ln>
                <a:noFill/>
              </a:ln>
              <a:effectLst/>
            </c:spPr>
          </c:dLbls>
          <c:cat>
            <c:strRef>
              <c:f>Лист1!$A$2:$A$6</c:f>
              <c:strCache>
                <c:ptCount val="4"/>
                <c:pt idx="2">
                  <c:v xml:space="preserve">письменные </c:v>
                </c:pt>
                <c:pt idx="3">
                  <c:v>устные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2">
                  <c:v>124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</c:v>
                </c:pt>
              </c:strCache>
            </c:strRef>
          </c:tx>
          <c:invertIfNegative val="0"/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  <c:spPr bwMode="auto">
              <a:prstGeom prst="rect">
                <a:avLst/>
              </a:prstGeom>
              <a:noFill/>
              <a:ln>
                <a:noFill/>
              </a:ln>
              <a:effectLst/>
            </c:spPr>
          </c:dLbls>
          <c:cat>
            <c:strRef>
              <c:f>Лист1!$A$2:$A$6</c:f>
              <c:strCache>
                <c:ptCount val="4"/>
                <c:pt idx="2">
                  <c:v xml:space="preserve">письменные </c:v>
                </c:pt>
                <c:pt idx="3">
                  <c:v>устные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2">
                  <c:v>129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</c:v>
                </c:pt>
              </c:strCache>
            </c:strRef>
          </c:tx>
          <c:invertIfNegative val="0"/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  <c:spPr bwMode="auto">
              <a:prstGeom prst="rect">
                <a:avLst/>
              </a:prstGeom>
              <a:noFill/>
              <a:ln>
                <a:noFill/>
              </a:ln>
              <a:effectLst/>
            </c:spPr>
          </c:dLbls>
          <c:cat>
            <c:strRef>
              <c:f>Лист1!$A$2:$A$6</c:f>
              <c:strCache>
                <c:ptCount val="4"/>
                <c:pt idx="2">
                  <c:v xml:space="preserve">письменные </c:v>
                </c:pt>
                <c:pt idx="3">
                  <c:v>устные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2">
                  <c:v>82</c:v>
                </c:pt>
                <c:pt idx="3">
                  <c:v>1</c:v>
                </c:pt>
              </c:numCache>
            </c:numRef>
          </c:val>
        </c:ser>
        <c:dLbls>
          <c:showBubbleSize val="0"/>
          <c:showCatName val="0"/>
          <c:showLeaderLines val="0"/>
          <c:showLegendKey val="0"/>
          <c:showPercent val="0"/>
          <c:showSerName val="0"/>
          <c:showVal val="0"/>
        </c:dLbls>
        <c:gapWidth val="150"/>
        <c:shape val="cylinder"/>
        <c:axId val="88480384"/>
        <c:axId val="88498560"/>
        <c:axId val="43466240"/>
      </c:bar3DChart>
      <c:catAx>
        <c:axId val="88480384"/>
        <c:scaling>
          <c:orientation val="minMax"/>
        </c:scaling>
        <c:delete val="0"/>
        <c:axPos val="b"/>
        <c:majorGridlines>
          <c:spPr bwMode="auto"/>
        </c:majorGridlines>
        <c:numFmt formatCode="General" sourceLinked="0"/>
        <c:majorTickMark val="none"/>
        <c:minorTickMark val="none"/>
        <c:tickLblPos val="nextTo"/>
        <c:txPr>
          <a:bodyPr/>
          <a:lstStyle/>
          <a:p>
            <a:pPr>
              <a:defRPr sz="1200"/>
            </a:pPr>
            <a:endParaRPr lang="ru-RU"/>
          </a:p>
        </c:txPr>
        <c:crossAx val="88498560"/>
        <c:crosses val="autoZero"/>
        <c:auto val="1"/>
        <c:lblAlgn val="ctr"/>
        <c:lblOffset val="100"/>
        <c:noMultiLvlLbl val="0"/>
      </c:catAx>
      <c:valAx>
        <c:axId val="88498560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crossAx val="88480384"/>
        <c:crosses val="autoZero"/>
        <c:crossBetween val="between"/>
      </c:valAx>
      <c:serAx>
        <c:axId val="43466240"/>
        <c:scaling>
          <c:orientation val="minMax"/>
        </c:scaling>
        <c:delete val="1"/>
        <c:axPos val="b"/>
        <c:minorGridlines>
          <c:spPr bwMode="auto"/>
        </c:minorGridlines>
        <c:majorTickMark val="out"/>
        <c:minorTickMark val="none"/>
        <c:tickLblPos val="nextTo"/>
        <c:crossAx val="88498560"/>
        <c:crosses val="autoZero"/>
      </c:serAx>
    </c:plotArea>
    <c:legend>
      <c:legendPos val="b"/>
      <c:layout/>
      <c:overlay val="0"/>
      <c:txPr>
        <a:bodyPr/>
        <a:lstStyle/>
        <a:p>
          <a:pPr>
            <a:defRPr/>
          </a:pPr>
          <a:endParaRPr lang="ru-RU"/>
        </a:p>
      </c:txPr>
    </c:legend>
    <c:plotVisOnly val="1"/>
    <c:dispBlanksAs val="gap"/>
    <c:showDLblsOverMax val="0"/>
  </c:chart>
  <c:spPr bwMode="auto">
    <a:xfrm>
      <a:off x="0" y="0"/>
      <a:ext cx="5486397" cy="3200393"/>
    </a:xfrm>
  </c:sp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mc="http://schemas.openxmlformats.org/markup-compatibility/2006" xmlns:c14="http://schemas.microsoft.com/office/drawing/2007/8/2/chart">
  <c:date1904 val="0"/>
  <c:lang val="ru-RU"/>
  <c:roundedCorners val="0"/>
  <mc:AlternateContent>
    <mc:Choice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Поступившие</a:t>
            </a:r>
            <a:r>
              <a:rPr lang="ru-RU" sz="1400"/>
              <a:t> заявления и жалобы в Минтранс НСО в мае 2023 года в сравнении с апрелем 2023 года </a:t>
            </a:r>
            <a:endParaRPr sz="1400"/>
          </a:p>
          <a:p>
            <a:pPr>
              <a:defRPr/>
            </a:pPr>
            <a:r>
              <a:rPr lang="ru-RU" sz="1400"/>
              <a:t>и маем  2022 года</a:t>
            </a:r>
            <a:endParaRPr sz="1400"/>
          </a:p>
        </c:rich>
      </c:tx>
      <c:layout>
        <c:manualLayout>
          <c:xMode val="edge"/>
          <c:yMode val="edge"/>
          <c:x val="0.13250000000000001"/>
          <c:y val="0.019859999999999999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 xml:space="preserve">май 2023 год </c:v>
                </c:pt>
              </c:strCache>
            </c:strRef>
          </c:tx>
          <c:invertIfNegative val="0"/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  <c:spPr bwMode="auto">
              <a:prstGeom prst="rect">
                <a:avLst/>
              </a:prstGeom>
              <a:noFill/>
              <a:ln>
                <a:noFill/>
              </a:ln>
              <a:effectLst/>
            </c:spPr>
          </c:dLbls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19</c:v>
                </c:pt>
                <c:pt idx="2">
                  <c:v>100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 xml:space="preserve">апрель 2023 год</c:v>
                </c:pt>
              </c:strCache>
            </c:strRef>
          </c:tx>
          <c:invertIfNegative val="0"/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  <c:spPr bwMode="auto">
              <a:prstGeom prst="rect">
                <a:avLst/>
              </a:prstGeom>
              <a:noFill/>
              <a:ln>
                <a:noFill/>
              </a:ln>
              <a:effectLst/>
            </c:spPr>
          </c:dLbls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20</c:v>
                </c:pt>
                <c:pt idx="2">
                  <c:v>61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 xml:space="preserve">май 2022 год</c:v>
                </c:pt>
              </c:strCache>
            </c:strRef>
          </c:tx>
          <c:invertIfNegative val="0"/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  <c:spPr bwMode="auto">
              <a:prstGeom prst="rect">
                <a:avLst/>
              </a:prstGeom>
              <a:noFill/>
              <a:ln>
                <a:noFill/>
              </a:ln>
              <a:effectLst/>
            </c:spPr>
          </c:dLbls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18</c:v>
                </c:pt>
                <c:pt idx="2">
                  <c:v>60</c:v>
                </c:pt>
              </c:numCache>
            </c:numRef>
          </c:val>
        </c:ser>
        <c:dLbls>
          <c:showBubbleSize val="0"/>
          <c:showCatName val="0"/>
          <c:showLeaderLines val="0"/>
          <c:showLegendKey val="0"/>
          <c:showPercent val="0"/>
          <c:showSerName val="0"/>
          <c:showVal val="1"/>
        </c:dLbls>
        <c:gapWidth val="150"/>
        <c:shape val="cylinder"/>
        <c:axId val="95782400"/>
        <c:axId val="95783936"/>
      </c:bar3DChart>
      <c:catAx>
        <c:axId val="95782400"/>
        <c:scaling>
          <c:orientation val="minMax"/>
        </c:scaling>
        <c:delete val="0"/>
        <c:axPos val="b"/>
        <c:minorGridlines>
          <c:spPr bwMode="auto"/>
        </c:minorGridlines>
        <c:numFmt formatCode="General" sourceLinked="0"/>
        <c:majorTickMark val="none"/>
        <c:minorTickMark val="none"/>
        <c:tickLblPos val="nextTo"/>
        <c:crossAx val="95783936"/>
        <c:crosses val="autoZero"/>
        <c:auto val="1"/>
        <c:lblAlgn val="ctr"/>
        <c:lblOffset val="100"/>
        <c:noMultiLvlLbl val="0"/>
      </c:catAx>
      <c:valAx>
        <c:axId val="95783936"/>
        <c:scaling>
          <c:orientation val="minMax"/>
        </c:scaling>
        <c:delete val="1"/>
        <c:axPos val="l"/>
        <c:majorGridlines>
          <c:spPr bwMode="auto"/>
        </c:majorGridlines>
        <c:minorGridlines>
          <c:spPr bwMode="auto"/>
        </c:minorGridlines>
        <c:numFmt formatCode="General" sourceLinked="1"/>
        <c:majorTickMark val="none"/>
        <c:minorTickMark val="none"/>
        <c:tickLblPos val="none"/>
        <c:crossAx val="95782400"/>
        <c:crosses val="autoZero"/>
        <c:crossBetween val="between"/>
      </c:valAx>
    </c:plotArea>
    <c:legend>
      <c:legendPos val="b"/>
      <c:layout/>
      <c:overlay val="0"/>
    </c:legend>
    <c:plotVisOnly val="1"/>
    <c:dispBlanksAs val="gap"/>
    <c:showDLblsOverMax val="0"/>
  </c:chart>
  <c:spPr bwMode="auto">
    <a:xfrm>
      <a:off x="0" y="0"/>
      <a:ext cx="5486397" cy="3200393"/>
    </a:xfrm>
  </c:spPr>
  <c:externalData r:id="rId1">
    <c:autoUpdate val="0"/>
  </c:externalData>
</c:chartSpace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7A2504-A3D0-4B98-A1A1-7802A1F08C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Р7-Офис/7.3.0.0</Application>
  <Company>АГНОиПНО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Тимофеева Ольга Евгеньевна</dc:creator>
  <cp:revision>24</cp:revision>
  <dcterms:created xsi:type="dcterms:W3CDTF">2023-02-02T03:31:00Z</dcterms:created>
  <dcterms:modified xsi:type="dcterms:W3CDTF">2023-06-02T06:44:18Z</dcterms:modified>
</cp:coreProperties>
</file>