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6BA" w:rsidRDefault="00862337">
      <w:pPr>
        <w:widowControl w:val="0"/>
        <w:jc w:val="right"/>
      </w:pPr>
      <w:bookmarkStart w:id="0" w:name="_GoBack"/>
      <w:bookmarkEnd w:id="0"/>
      <w:r>
        <w:rPr>
          <w:sz w:val="28"/>
          <w:szCs w:val="28"/>
        </w:rPr>
        <w:t>Приложение</w:t>
      </w:r>
    </w:p>
    <w:p w:rsidR="000966BA" w:rsidRDefault="00862337">
      <w:pPr>
        <w:widowControl w:val="0"/>
        <w:jc w:val="right"/>
      </w:pPr>
      <w:r>
        <w:rPr>
          <w:sz w:val="28"/>
          <w:szCs w:val="28"/>
        </w:rPr>
        <w:t>к приказу министерства транспорта</w:t>
      </w:r>
    </w:p>
    <w:p w:rsidR="000966BA" w:rsidRDefault="00862337">
      <w:pPr>
        <w:widowControl w:val="0"/>
        <w:jc w:val="right"/>
      </w:pPr>
      <w:r>
        <w:rPr>
          <w:sz w:val="28"/>
          <w:szCs w:val="28"/>
        </w:rPr>
        <w:t>и дорожного хозяйства Новосибирской области</w:t>
      </w:r>
    </w:p>
    <w:p w:rsidR="000966BA" w:rsidRDefault="00862337">
      <w:pPr>
        <w:widowControl w:val="0"/>
        <w:jc w:val="right"/>
      </w:pPr>
      <w:r>
        <w:rPr>
          <w:sz w:val="28"/>
          <w:szCs w:val="28"/>
        </w:rPr>
        <w:t>от _________№ _________</w:t>
      </w:r>
    </w:p>
    <w:p w:rsidR="000966BA" w:rsidRDefault="000966BA">
      <w:pPr>
        <w:widowControl w:val="0"/>
        <w:jc w:val="right"/>
        <w:rPr>
          <w:sz w:val="28"/>
          <w:szCs w:val="28"/>
        </w:rPr>
      </w:pPr>
    </w:p>
    <w:p w:rsidR="000966BA" w:rsidRDefault="00862337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«Приложение</w:t>
      </w:r>
    </w:p>
    <w:p w:rsidR="000966BA" w:rsidRDefault="00862337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к приказу министерства транспорта</w:t>
      </w:r>
    </w:p>
    <w:p w:rsidR="000966BA" w:rsidRDefault="00862337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и дорожного хозяйства Новосибирской области</w:t>
      </w:r>
    </w:p>
    <w:p w:rsidR="000966BA" w:rsidRDefault="00862337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от 28.02.2022 № 33</w:t>
      </w:r>
    </w:p>
    <w:p w:rsidR="000966BA" w:rsidRDefault="000966BA">
      <w:pPr>
        <w:widowControl w:val="0"/>
        <w:jc w:val="right"/>
        <w:rPr>
          <w:sz w:val="28"/>
          <w:szCs w:val="28"/>
        </w:rPr>
      </w:pPr>
    </w:p>
    <w:p w:rsidR="000966BA" w:rsidRDefault="000966BA">
      <w:pPr>
        <w:widowControl w:val="0"/>
        <w:jc w:val="right"/>
        <w:rPr>
          <w:sz w:val="28"/>
          <w:szCs w:val="28"/>
        </w:rPr>
      </w:pPr>
    </w:p>
    <w:tbl>
      <w:tblPr>
        <w:tblW w:w="3544" w:type="dxa"/>
        <w:tblInd w:w="64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4"/>
      </w:tblGrid>
      <w:tr w:rsidR="000966BA">
        <w:trPr>
          <w:trHeight w:val="3297"/>
        </w:trPr>
        <w:tc>
          <w:tcPr>
            <w:tcW w:w="3544" w:type="dxa"/>
          </w:tcPr>
          <w:p w:rsidR="000966BA" w:rsidRDefault="000966BA">
            <w:pPr>
              <w:widowControl w:val="0"/>
              <w:ind w:right="-749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0966BA" w:rsidRDefault="00862337">
      <w:pPr>
        <w:widowControl w:val="0"/>
        <w:tabs>
          <w:tab w:val="left" w:pos="7361"/>
        </w:tabs>
        <w:rPr>
          <w:sz w:val="18"/>
          <w:szCs w:val="18"/>
        </w:rPr>
      </w:pPr>
      <w:r>
        <w:rPr>
          <w:sz w:val="28"/>
          <w:szCs w:val="28"/>
        </w:rPr>
        <w:tab/>
      </w:r>
      <w:r>
        <w:rPr>
          <w:sz w:val="18"/>
          <w:szCs w:val="18"/>
          <w:lang w:val="en-US"/>
        </w:rPr>
        <w:t>QR</w:t>
      </w:r>
      <w:r>
        <w:rPr>
          <w:sz w:val="18"/>
          <w:szCs w:val="18"/>
        </w:rPr>
        <w:t>-код</w:t>
      </w:r>
    </w:p>
    <w:p w:rsidR="000966BA" w:rsidRDefault="000966BA">
      <w:pPr>
        <w:widowControl w:val="0"/>
        <w:jc w:val="center"/>
        <w:rPr>
          <w:sz w:val="28"/>
          <w:szCs w:val="28"/>
        </w:rPr>
      </w:pPr>
    </w:p>
    <w:p w:rsidR="000966BA" w:rsidRDefault="00862337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Форма проверочного листа (список контрольных вопросов), </w:t>
      </w:r>
    </w:p>
    <w:p w:rsidR="000966BA" w:rsidRDefault="00862337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применяемая управлением дорожного комплекса министерства транспорта и дорожного хозяйства Новосибирской области при осуществлении регионального государственного контроля (надзора) на автомобильном транспорте, городском наземном электрическом транспорте и в дорожном хозяйстве </w:t>
      </w:r>
    </w:p>
    <w:p w:rsidR="000966BA" w:rsidRDefault="00862337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на территории Новосибирской области</w:t>
      </w:r>
    </w:p>
    <w:tbl>
      <w:tblPr>
        <w:tblpPr w:leftFromText="180" w:rightFromText="180" w:vertAnchor="text" w:horzAnchor="margin" w:tblpXSpec="center" w:tblpY="239"/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8"/>
        <w:gridCol w:w="3162"/>
        <w:gridCol w:w="1515"/>
        <w:gridCol w:w="1956"/>
        <w:gridCol w:w="543"/>
        <w:gridCol w:w="543"/>
        <w:gridCol w:w="543"/>
        <w:gridCol w:w="1660"/>
      </w:tblGrid>
      <w:tr w:rsidR="000966BA">
        <w:trPr>
          <w:trHeight w:val="515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Вид государственного контроля (надзора)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jc w:val="center"/>
            </w:pPr>
            <w:r>
              <w:t>Региональный государственный контроль (надзор) на автомобильном транспорте, городском наземном электрическом транспорте и в дорожном хозяйстве</w:t>
            </w:r>
          </w:p>
        </w:tc>
      </w:tr>
      <w:tr w:rsidR="000966BA">
        <w:trPr>
          <w:trHeight w:val="515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Наименование контрольного (надзорного) органа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министерство транспорта и дорожного хозяйства Новосибирской области</w:t>
            </w: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Реквизиты нормативного правового акта об утверждении формы проверочного листа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Вид контрольного (надзорного) мероприятия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Дата заполнения проверочного листа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  <w:rPr>
                <w:highlight w:val="yellow"/>
              </w:rPr>
            </w:pPr>
            <w:r>
              <w:t>Объект государственного контроля (надзора), в отношении которого проводится контрольное (надзорное) мероприятие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 xml:space="preserve">Контролируемое лицо (наименование, ИНН, и (или) основной государственный регистрационный номер, адрес </w:t>
            </w:r>
            <w:r>
              <w:lastRenderedPageBreak/>
              <w:t>юридического лица (его филиалов, представительств, обособленных структурных подразделений);</w:t>
            </w:r>
          </w:p>
          <w:p w:rsidR="000966BA" w:rsidRDefault="00862337">
            <w:pPr>
              <w:widowControl w:val="0"/>
              <w:jc w:val="center"/>
              <w:rPr>
                <w:highlight w:val="yellow"/>
              </w:rPr>
            </w:pPr>
            <w:r>
              <w:t xml:space="preserve"> фамилия, имя и отчество (при наличии), ИНН, адрес регистрации индивидуального предпринимателя)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  <w:rPr>
                <w:highlight w:val="yellow"/>
              </w:rPr>
            </w:pPr>
            <w:r>
              <w:t>Место проведения контрольного (надзорного) мероприятия с заполнением проверочного листа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Реквизиты решения контрольного (надзорного) органа о проведении контрольного (надзорного) мероприятия, подписанного уполномоченным должностным лицом контрольного (надзорного) органа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Учетный номер контрольного (надзорного) мероприятия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144"/>
        </w:trPr>
        <w:tc>
          <w:tcPr>
            <w:tcW w:w="51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Должность, фамилия и инициалы должностного лица контрольного (надзорного) органа, в должностные обязанности которого в соответствии с положением о виде контроля, должностным регламентом или должностной инструкцией входит осуществление полномочий по виду контроля, в том числе проведение профилактических мероприятий и контрольных (надзорных) мероприятий, проводящего контрольное (надзорное) мероприятие и заполняющего проверочный лист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  <w:jc w:val="center"/>
            </w:pPr>
          </w:p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888"/>
          <w:tblHeader/>
        </w:trPr>
        <w:tc>
          <w:tcPr>
            <w:tcW w:w="4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t>№</w:t>
            </w:r>
          </w:p>
        </w:tc>
        <w:tc>
          <w:tcPr>
            <w:tcW w:w="31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t>Список контрольных вопросов, отражающих содержание обязательных требований, ответы на которые свидетельствуют о соблюдении или несоблюдении контролируемым лицом обязательных требований</w:t>
            </w:r>
          </w:p>
        </w:tc>
        <w:tc>
          <w:tcPr>
            <w:tcW w:w="34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t>Реквизиты нормативных правовых актов с указанием их структурных единиц, которыми устанавливаются обязательные требования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Ответы на вопросы</w:t>
            </w:r>
          </w:p>
        </w:tc>
        <w:tc>
          <w:tcPr>
            <w:tcW w:w="16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Примечание</w:t>
            </w:r>
          </w:p>
        </w:tc>
      </w:tr>
      <w:tr w:rsidR="000966BA">
        <w:trPr>
          <w:trHeight w:val="144"/>
          <w:tblHeader/>
        </w:trPr>
        <w:tc>
          <w:tcPr>
            <w:tcW w:w="4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</w:pPr>
          </w:p>
        </w:tc>
        <w:tc>
          <w:tcPr>
            <w:tcW w:w="31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</w:pPr>
          </w:p>
        </w:tc>
        <w:tc>
          <w:tcPr>
            <w:tcW w:w="347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>
            <w:pPr>
              <w:widowControl w:val="0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да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нет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jc w:val="center"/>
            </w:pPr>
            <w:r>
              <w:t>неприменимо</w:t>
            </w:r>
          </w:p>
        </w:tc>
        <w:tc>
          <w:tcPr>
            <w:tcW w:w="16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 w:rsidTr="003C2CD4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t>1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Соблюдаются ли проверяемым юридическим лицом или индивидуальным предпринимателем при осуществлении работ по капитальному ремонту, ремонту и содержанию автомобильных дорог общего пользования регионального и межмуниципального значения следующие требования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 w:rsidP="003C2CD4">
            <w:pPr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 w:rsidTr="003C2CD4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t>1.1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На покрытии проезжей части должны отсутствовать проломы, просадки, выбоины и иные повреждения или дефекты, а также посторонние предметы, затрудняющие движение транспортных средств с разрешенной скоростью и представляющие опасность для потребителей транспортных услуг или третьих лиц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пп. «а» п. 13.2 технического регламента Таможенного союза «Безопасность автомобильных дорог» ТР ТС 014/2011 (далее - Технический регламент 014/2011)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 w:rsidTr="003C2CD4">
        <w:trPr>
          <w:trHeight w:val="768"/>
        </w:trPr>
        <w:tc>
          <w:tcPr>
            <w:tcW w:w="4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t>1.2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Водоотвод с проезжей части должен находиться в состоянии, исключающем застой воды на покрытии и обочинах</w:t>
            </w:r>
          </w:p>
        </w:tc>
        <w:tc>
          <w:tcPr>
            <w:tcW w:w="347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«а» п. 13.2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314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</w:pPr>
            <w:r>
              <w:lastRenderedPageBreak/>
              <w:t>1.3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 xml:space="preserve">Возвышение обочины и разделительной полосы над уровнем проезжей части при отсутствии бордюра не допускается. Обочины и разделительные полосы, не отделенные от проезжей части бордюром, не должны быть ниже уровня прилегающей кромки проезжей части более чем на 4 см 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«г» п. 13.2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jc w:val="center"/>
            </w:pPr>
            <w:r>
              <w:t>1.4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Обочины не должны иметь деформаций, повреждений, указанных в пункте 13.2 подпункта «а» настоящей статьи для дорожных покрытий. До устранения дефектов обочин должны быть установлены соответствующие временные дорожные знаки или другие технические средства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«д» п. 13.2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633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1.5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Установку отсутствующих и замену поврежденных дорожных знаков следует осуществлять в сроки, установленные в международных и региональных стандартах, а в случае их отсутствия - национальных (государственных) стандартах государств - членов Таможенного союза, в результате применения которых на добровольной основе обеспечивается соблюдение требований принятого технического регламента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«а»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74" w:lineRule="exact"/>
              <w:jc w:val="both"/>
            </w:pPr>
            <w:r>
              <w:t>1.6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Дорожная разметка должна быть различима в любых условиях эксплуатации, за исключением случаев, когда поверхность автомобильной дороги загрязнена или покрыта снежно-ледяными отложениями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«б»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74" w:lineRule="exact"/>
              <w:jc w:val="both"/>
            </w:pPr>
            <w:r>
              <w:t>1.7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В случае если разметка, определяющая режимы движения, трудно различима или не может быть своевременно восстановлена, необходимо устанавливать соответствующие дорожные знаки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«б»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74" w:lineRule="exact"/>
              <w:jc w:val="both"/>
            </w:pPr>
            <w:r>
              <w:t>1.8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 xml:space="preserve">Дорожная разметка должна быть восстановлена в случае, если ее износ или разрушение не позволяют однозначно </w:t>
            </w:r>
            <w:r>
              <w:lastRenderedPageBreak/>
              <w:t>воспринимать заложенную информацию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lastRenderedPageBreak/>
              <w:t>пп. «б»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1.9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Восстановление дорожной разметки необходимо производить при наступлении условий, обеспечивающих возможность применения разметочных материалов и изделий в соответствии с установленными условиями их применения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«б»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46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1.10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Дорожные светофоры должны быть размещены таким образом, чтобы они легко воспринимались участниками дорожного движения в различных погодных и световых условиях, не были закрыты какими-либо препятствиями, обеспечивали удобство обслуживания и уменьшали вероятность их повреждения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«в»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1.11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Минимальная видимость сигналов дорожных светофоров, включая символы, используемые на рассеивателях сигналов, должна обеспечивать водителям транспортных средств возможность безопасного совершения маневра или остановки как в светлое, так и в темное время суток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«в»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77" w:lineRule="exact"/>
              <w:jc w:val="both"/>
            </w:pPr>
            <w:r>
              <w:t>1.12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Элементы дорожного светофора и его крепления не должны иметь повреждений, влияющих на видимость сигналов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«в»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77" w:lineRule="exact"/>
              <w:jc w:val="both"/>
            </w:pPr>
            <w:r>
              <w:t>1.13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Замену вышедшего из строя источника света дорожного светофора, а также ликвидацию  повреждений электромонтажной схемы в корпусе дорожного светофора или электрического кабеля после его обнаружения дорожно-эксплуатационной службой и документального оформления, следует осуществлять в сроки, установленные в международных и региональных стандартах, а в случае их отсутствия - национальных (государственных) стандартах государств - членов Таможенного союза, в результате применения которых на добровольной основе обеспечивается соблюдение требований принятого технического регламента Таможенного союза.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пп. «в»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lastRenderedPageBreak/>
              <w:t>1.14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Поврежденные дорожные сигнальные столбики и дорожные тумбы после обнаружения повреждения дорожно-эксплуатационной службой и документального оформления должны быть заменены в сроки, установленные в международных и региональных стандартах, а в случае их отсутствия - национальных (государственных) стандартах государств - членов Таможенного союза, в результате применения которых на добровольной основе обеспечивается соблюдение требований принятого технического регламента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«г»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1.15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Технические средства организации дорожного движения, применение которых вызвано причинами временного характера (дорожно-строительные работы, организация ограничения или прекращения движения транспорта в установленном порядке в период возникновения неблагоприятных природно-климатических условий, в случае снижения несущей способности конструктивных элементов автомобильной дороги, ее участков и в иных случаях в целях обеспечения безопасности дорожного движения), должны быть своевременно установлены (устроены) и использованы лишь в периоды действия ограничивающих факторов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«е»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1.16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Для лучшего восприятия водителями временных дорожных знаков на одной опоре должно быть установлено не более двух знаков и одного знака дополнительной информации (таблички)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«е»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1.17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Временные дорожные знаки и дорожные светофоры, действие которых носит периодический характер, на время, когда их применение не требуется, должны быть закрыты чехлами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пп. «е»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spacing w:line="240" w:lineRule="exact"/>
            </w:pPr>
            <w:r>
              <w:t>1.18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После устранения причин, вызвавших необходимость применения временных технических средств при организации дорожного движения, они должны быть демонтированы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пп. «е» п. 13.5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lastRenderedPageBreak/>
              <w:t>1.19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Поврежденные ограждения на автомобильных дорогах после их обнаружения дорожно-эксплуатационной службой и документального оформления должны быть восстановлены в сроки, установленные в международных и региональных стандартах, а в случае их отсутствия - национальных (государственных) стандартах государств - членов Таможенного союза, в результате применения которых на добровольной основе обеспечивается соблюдение требований принятого технического регламента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13.6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1.20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Замену вышедшего из строя источника света искусственного освещения после его обнаружения дорожно-эксплуатационной службой и документального оформления следует осуществить в сроки, установленные в международных и региональных стандартах, а в случае их отсутствия - национальных (государственных) стандартах государств - членов Таможенного союза, в результате применения которых на добровольной основе обеспечивается соблюдение требований принятого технического регламента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13.7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1.21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В полосе отвода автомобильной дороги не допускается размещение рекламной или иной информации, не имеющей непосредственного отношения к организации движения, если иное не предусмотрено законодательством государств - членов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13.8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1.22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Средства наружной рекламы не должны:</w:t>
            </w:r>
          </w:p>
          <w:p w:rsidR="000966BA" w:rsidRDefault="00862337" w:rsidP="003C2CD4">
            <w:pPr>
              <w:jc w:val="both"/>
            </w:pPr>
            <w:r>
              <w:t>- размещаться на дорожном знаке, его опоре или на любом другом приспособлении, предназначенном для регулирования движения;</w:t>
            </w:r>
          </w:p>
          <w:p w:rsidR="000966BA" w:rsidRDefault="00862337" w:rsidP="003C2CD4">
            <w:pPr>
              <w:jc w:val="both"/>
            </w:pPr>
            <w:r>
              <w:t>- ухудшать видимость средств регулирования дорожного движения или снижать их эффективность;</w:t>
            </w:r>
          </w:p>
          <w:p w:rsidR="000966BA" w:rsidRDefault="00862337" w:rsidP="003C2CD4">
            <w:pPr>
              <w:jc w:val="both"/>
            </w:pPr>
            <w:r>
              <w:t xml:space="preserve">- иметь сходство (по внешнему виду, изображению или звуковому эффекту) с техническими средствами организации </w:t>
            </w:r>
            <w:r>
              <w:lastRenderedPageBreak/>
              <w:t>дорожного движения и специальными сигналами, а также создавать впечатление нахождения на дороге транспортного средства, пешехода, животных или иного объекта;</w:t>
            </w:r>
          </w:p>
          <w:p w:rsidR="000966BA" w:rsidRDefault="00862337" w:rsidP="003C2CD4">
            <w:pPr>
              <w:jc w:val="both"/>
            </w:pPr>
            <w:r>
              <w:t>- освещаться в темное время суток на участках дорог, где дорожные знаки не имеют искусственного освещения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lastRenderedPageBreak/>
              <w:t>п. 13.8 Т 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>
            <w:pPr>
              <w:widowControl w:val="0"/>
              <w:spacing w:line="240" w:lineRule="exact"/>
            </w:pPr>
            <w:r>
              <w:t>1.23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Очистка покрытия автомобильной дороги от снега должна осуществляться с проезжей части, остановок общественного наземного транспорта, тротуаров, обочин, съездов, площадок для стоянки и остановки транспортных средств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п. 13.9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1.24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На снежном накате не допускается наличие колеи глубиной более 30 мм и отдельных гребней возвышений, занижений и выбоин высотой или глубиной более 40 мм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13.9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1.25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Сроки ликвидации зимней скользкости и окончания снегоочистки для автомобильных дорог в зависимости от их значения, класса и категории, а также интенсивности и состава движения устанавливаются в международных и региональных стандартах, а в случае их отсутствия - национальных (государственных) стандартах государств - членов Таможенного союза, в результате применения которых на добровольной основе обеспечивается соблюдение требований принятого технического регламента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13.9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1.26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Перед выпуском в обращение на рынке дорожно-строительные материалы и изделия должны пройти подтверждение соответствия требованиям безопасности настоящего технического регламента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24.1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1.27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 xml:space="preserve">Дорожно-строительные материалы, включенные в Перечень, приведенный в приложении 1 к ТР ТС 014/2011, подлежат подтверждению соответствия в форме декларирования соответствия (схема 1д, Зд, 4д). Схема 1д и Зд - </w:t>
            </w:r>
            <w:r>
              <w:lastRenderedPageBreak/>
              <w:t>для серийно выпускаемой продукции, схема 4д - для партии продукции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lastRenderedPageBreak/>
              <w:t>п. 24.2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592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1.28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Изделия, включенные в Перечень, приведенный в приложении 2 к ТР ТС 014/2011, подлежат подтверждению соответствия в форме сертификации (схема 1с, Зс)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24.3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1.29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Сертификация изделий проводится аккредитованным органом по сертификации (оценке (подтверждению) соответствия), включенным в Единый реестр органов по сертификации и испытательных лабораторий (центров) Таможенного союза (далее - орган по сертификации)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24.3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1.30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Декларирование соответствия дорожно-строительных материалов по схемам 1д, Зд, 4д осуществляется на основании:</w:t>
            </w:r>
          </w:p>
          <w:p w:rsidR="000966BA" w:rsidRDefault="00862337" w:rsidP="003C2CD4">
            <w:pPr>
              <w:jc w:val="both"/>
            </w:pPr>
            <w:r>
              <w:t>- собственных доказательств (схема 1 д);</w:t>
            </w:r>
          </w:p>
          <w:p w:rsidR="000966BA" w:rsidRDefault="00862337" w:rsidP="003C2CD4">
            <w:pPr>
              <w:jc w:val="both"/>
            </w:pPr>
            <w:r>
              <w:t xml:space="preserve">- доказательств, полученных с участием аккредитованной испытательной лаборатории (центра), включенных в Единый реестр органов </w:t>
            </w:r>
            <w:r w:rsidR="003C2CD4">
              <w:t>по сертификации</w:t>
            </w:r>
            <w:r>
              <w:t xml:space="preserve"> и испытательных лабораторий (центров) Таможенного союза (схемы Зд, 4д);</w:t>
            </w:r>
          </w:p>
          <w:p w:rsidR="000966BA" w:rsidRDefault="00862337" w:rsidP="003C2CD4">
            <w:pPr>
              <w:jc w:val="both"/>
            </w:pPr>
            <w:r>
              <w:t>- проведения испытаний дорожно-строительных материалов и производственного контроля изготовителем (схемы Зд, 4д)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24.7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1.31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Декларация о соответствии оформляется по единой форме, утвержденной решением Комиссии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24.10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1.32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Декларация о соответствии подлежит регистрации в соответствии с порядком, утвержденным Комиссий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24.10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1.33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Действие декларации о соответствии начинается со дня ее регистрации. Срок действия декларации о соответствии - не более пяти лет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24.10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1.34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Заявитель обязан хранить декларацию о соответствии и доказательственные материалы в течение десяти лет с момента окончания срока действия декларации о соответствии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24.10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lastRenderedPageBreak/>
              <w:t>1.35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Сертификат соответствия оформляется по единой форме, утвержденной решением Комиссии Таможенного союза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862337" w:rsidP="003C2CD4">
            <w:pPr>
              <w:jc w:val="both"/>
            </w:pPr>
            <w:r>
              <w:t>п. 24.13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</w:tr>
      <w:tr w:rsidR="000966BA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>
            <w:pPr>
              <w:widowControl w:val="0"/>
              <w:spacing w:line="240" w:lineRule="exact"/>
            </w:pPr>
            <w:r>
              <w:t>1.36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966BA" w:rsidRDefault="00862337" w:rsidP="003C2CD4">
            <w:pPr>
              <w:jc w:val="both"/>
            </w:pPr>
            <w:r>
              <w:t>Срок действия сертификата соответствия устанавливается для выпускаемых изделий серийного производства - не более пяти лет, для выпущенной партии срок не устанавливается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862337" w:rsidP="003C2CD4">
            <w:pPr>
              <w:jc w:val="both"/>
            </w:pPr>
            <w:r>
              <w:t>п. 24.14 Технического регламента 014/2011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6BA" w:rsidRDefault="000966BA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66BA" w:rsidRDefault="000966BA">
            <w:pPr>
              <w:widowControl w:val="0"/>
              <w:jc w:val="center"/>
            </w:pPr>
          </w:p>
          <w:p w:rsidR="000966BA" w:rsidRDefault="000966BA">
            <w:pPr>
              <w:widowControl w:val="0"/>
              <w:jc w:val="center"/>
            </w:pPr>
          </w:p>
          <w:p w:rsidR="000966BA" w:rsidRDefault="000966BA">
            <w:pPr>
              <w:widowControl w:val="0"/>
              <w:jc w:val="center"/>
            </w:pPr>
          </w:p>
          <w:p w:rsidR="000966BA" w:rsidRDefault="000966BA">
            <w:pPr>
              <w:widowControl w:val="0"/>
              <w:jc w:val="center"/>
            </w:pPr>
          </w:p>
          <w:p w:rsidR="000966BA" w:rsidRDefault="000966BA">
            <w:pPr>
              <w:widowControl w:val="0"/>
              <w:jc w:val="center"/>
            </w:pPr>
          </w:p>
          <w:p w:rsidR="000966BA" w:rsidRDefault="000966BA">
            <w:pPr>
              <w:widowControl w:val="0"/>
            </w:pPr>
          </w:p>
        </w:tc>
      </w:tr>
      <w:tr w:rsidR="00EE10D8" w:rsidTr="00EE10D8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  <w:spacing w:line="240" w:lineRule="exact"/>
              <w:jc w:val="center"/>
            </w:pPr>
            <w:r>
              <w:t>2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jc w:val="both"/>
            </w:pPr>
            <w:r w:rsidRPr="00EE10D8">
              <w:t>Соблюдаются ли пр</w:t>
            </w:r>
            <w:r>
              <w:t xml:space="preserve">оверяемым юридическим лицом или </w:t>
            </w:r>
            <w:r w:rsidRPr="00EE10D8">
              <w:t>индивидуальным предпринимателем при размещении объекта дорожного сервиса следующие требования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10D8" w:rsidRDefault="00EE10D8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</w:tr>
      <w:tr w:rsidR="00EE10D8" w:rsidTr="00EE10D8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  <w:spacing w:line="240" w:lineRule="exact"/>
              <w:jc w:val="center"/>
            </w:pPr>
            <w:r>
              <w:t>2.1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jc w:val="both"/>
            </w:pPr>
            <w:r w:rsidRPr="00EE10D8">
              <w:t>Строительство в границах придорожной полосы автомобильной дороги объекта дорожного сервиса осуществлялось при наличии согласия в письменной форме</w:t>
            </w:r>
            <w:r>
              <w:t xml:space="preserve"> владельца автомобильной дороги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jc w:val="both"/>
            </w:pPr>
            <w:r w:rsidRPr="00EE10D8">
              <w:t>часть 8 с</w:t>
            </w:r>
            <w:r w:rsidR="003C2CD4">
              <w:t>татьи 26 Федерального закона от </w:t>
            </w:r>
            <w:r w:rsidRPr="00EE10D8">
              <w:t>08.11.20</w:t>
            </w:r>
            <w:r w:rsidR="003C2CD4">
              <w:t>07 № </w:t>
            </w:r>
            <w:r>
              <w:t>257-ФЗ «Об </w:t>
            </w:r>
            <w:r w:rsidRPr="00EE10D8">
              <w:t>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10D8" w:rsidRDefault="00EE10D8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</w:tr>
      <w:tr w:rsidR="00EE10D8" w:rsidTr="00EE10D8">
        <w:trPr>
          <w:trHeight w:val="53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  <w:spacing w:line="240" w:lineRule="exact"/>
              <w:jc w:val="center"/>
            </w:pPr>
            <w:r>
              <w:t>2.2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jc w:val="both"/>
            </w:pPr>
            <w:r w:rsidRPr="00EE10D8">
              <w:t>Соблюдены ли на объекте дорожного сервиса требования к перечню минимально необходимых услуг, оказываемых на таких объектах дорожного сервиса, размещаемых в границах полос отвода автомобильных дорог общего пользования регионального и межмуниципального значения Новосибирской области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3C2CD4">
            <w:pPr>
              <w:jc w:val="both"/>
            </w:pPr>
            <w:r w:rsidRPr="00EE10D8">
              <w:t>часть 2 статьи 22 Федерального за</w:t>
            </w:r>
            <w:r w:rsidR="003C2CD4">
              <w:t>кона от 08.11.2007 № </w:t>
            </w:r>
            <w:r>
              <w:t>257-ФЗ «Об </w:t>
            </w:r>
            <w:r w:rsidRPr="00EE10D8">
              <w:t>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</w:t>
            </w:r>
            <w:r w:rsidR="003C2CD4">
              <w:t>становление Правительства </w:t>
            </w:r>
            <w:r w:rsidR="003C2CD4" w:rsidRPr="003C2CD4">
              <w:t xml:space="preserve"> Российской Федерации </w:t>
            </w:r>
            <w:r>
              <w:t> от </w:t>
            </w:r>
            <w:r w:rsidR="003C2CD4">
              <w:t>28.10.2020</w:t>
            </w:r>
            <w:r w:rsidRPr="00EE10D8">
              <w:t xml:space="preserve"> </w:t>
            </w:r>
            <w:r>
              <w:t>№</w:t>
            </w:r>
            <w:r w:rsidR="003C2CD4">
              <w:t> </w:t>
            </w:r>
            <w:r w:rsidRPr="00EE10D8">
              <w:t>1753</w:t>
            </w:r>
            <w:r w:rsidR="003C2CD4">
              <w:t xml:space="preserve"> </w:t>
            </w:r>
            <w:r w:rsidRPr="00EE10D8">
              <w:t>«О минимально необходимых для обслуживания участников дорожного движения требованиях к обеспеченности автомобильных дорог общего пользования федерального, регионального или межмуниципального, местного значения объектами дорожного сервиса, размещаемыми в границах полос отвода автомобильных дорог, а также требованиях к перечню минимально необходимых услуг, оказываемых на таких объектах дорожного сервиса»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10D8" w:rsidRDefault="00EE10D8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</w:tr>
      <w:tr w:rsidR="00EE10D8" w:rsidTr="00EE10D8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EE10D8">
            <w:pPr>
              <w:widowControl w:val="0"/>
              <w:spacing w:line="240" w:lineRule="exact"/>
              <w:jc w:val="center"/>
            </w:pPr>
            <w:r w:rsidRPr="00EE10D8">
              <w:t>2.3</w:t>
            </w:r>
          </w:p>
          <w:p w:rsidR="00EE10D8" w:rsidRDefault="00EE10D8" w:rsidP="00EE10D8">
            <w:pPr>
              <w:widowControl w:val="0"/>
              <w:spacing w:line="240" w:lineRule="exact"/>
              <w:jc w:val="center"/>
            </w:pP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3C2CD4">
            <w:pPr>
              <w:jc w:val="both"/>
            </w:pPr>
            <w:r w:rsidRPr="00EE10D8">
              <w:t>Оборудован ли объект дорожного сервиса стоянками и местами остановки транспортных средств, а также подъездами, съездами и примыканиями в целях обеспечения доступа к ним с автомобильной дороги. При примыкании автомобильной дороги к другой автомобильной дороге подъезды и съезды должны быть оборудованы переходно-</w:t>
            </w:r>
            <w:r w:rsidRPr="00EE10D8">
              <w:lastRenderedPageBreak/>
              <w:t xml:space="preserve">скоростными полосами и обустроены элементами обустройства автомобильной дороги в целях обеспечения </w:t>
            </w:r>
            <w:r>
              <w:t>безопасности дорожного движения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3C2CD4">
            <w:pPr>
              <w:jc w:val="both"/>
            </w:pPr>
            <w:r w:rsidRPr="00EE10D8">
              <w:lastRenderedPageBreak/>
              <w:t>часть 6 статьи 22 Федерального за</w:t>
            </w:r>
            <w:r w:rsidR="003C2CD4">
              <w:t>кона от 08.11.2007 № </w:t>
            </w:r>
            <w:r>
              <w:t>257-ФЗ «Об ав</w:t>
            </w:r>
            <w:r w:rsidRPr="00EE10D8">
              <w:t>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</w:tr>
      <w:tr w:rsidR="00EE10D8" w:rsidTr="00EE10D8">
        <w:trPr>
          <w:trHeight w:val="768"/>
        </w:trPr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EE10D8">
            <w:pPr>
              <w:widowControl w:val="0"/>
              <w:spacing w:line="240" w:lineRule="exact"/>
              <w:jc w:val="center"/>
            </w:pPr>
            <w:r w:rsidRPr="00EE10D8">
              <w:t>2.4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3C2CD4">
            <w:pPr>
              <w:jc w:val="both"/>
            </w:pPr>
            <w:r w:rsidRPr="00EE10D8">
              <w:t>Заключен ли с владельцем автомобильной дороги договор об оказании услуг по присоединению объекта дорожного</w:t>
            </w:r>
            <w:r>
              <w:t xml:space="preserve"> сервиса к автомобильной дороге</w:t>
            </w:r>
          </w:p>
        </w:tc>
        <w:tc>
          <w:tcPr>
            <w:tcW w:w="34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Pr="00EE10D8" w:rsidRDefault="00EE10D8" w:rsidP="003C2CD4">
            <w:pPr>
              <w:jc w:val="both"/>
            </w:pPr>
            <w:r>
              <w:t>ч</w:t>
            </w:r>
            <w:r w:rsidRPr="00EE10D8">
              <w:t>асть 7 с</w:t>
            </w:r>
            <w:r w:rsidR="003C2CD4">
              <w:t>татьи 22 Федерального закона от 08.11.2007 № </w:t>
            </w:r>
            <w:r w:rsidRPr="00EE10D8">
              <w:t>257-ФЗ «Об</w:t>
            </w:r>
            <w:r w:rsidR="003C2CD4">
              <w:t> </w:t>
            </w:r>
            <w:r w:rsidRPr="00EE10D8">
              <w:t>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3C2CD4">
            <w:pPr>
              <w:widowControl w:val="0"/>
              <w:jc w:val="both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</w:pPr>
          </w:p>
        </w:tc>
        <w:tc>
          <w:tcPr>
            <w:tcW w:w="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 w:rsidP="00EE10D8">
            <w:pPr>
              <w:widowControl w:val="0"/>
            </w:pPr>
          </w:p>
        </w:tc>
        <w:tc>
          <w:tcPr>
            <w:tcW w:w="1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10D8" w:rsidRDefault="00EE10D8">
            <w:pPr>
              <w:widowControl w:val="0"/>
              <w:jc w:val="center"/>
            </w:pPr>
          </w:p>
        </w:tc>
      </w:tr>
    </w:tbl>
    <w:p w:rsidR="000966BA" w:rsidRDefault="000966BA">
      <w:pPr>
        <w:widowControl w:val="0"/>
        <w:jc w:val="both"/>
        <w:rPr>
          <w:sz w:val="28"/>
          <w:szCs w:val="28"/>
        </w:rPr>
      </w:pPr>
    </w:p>
    <w:p w:rsidR="000966BA" w:rsidRDefault="00862337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Подписи должностных(ого) лиц(а) министерства транспорта и дорожного хозяйства Новосибирской области, проводящих(его) контрольное мероприятие и заполняющих(его) проверочный лист:  </w:t>
      </w:r>
    </w:p>
    <w:p w:rsidR="000966BA" w:rsidRDefault="00862337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__________________/__________________________________________/_____________</w:t>
      </w:r>
    </w:p>
    <w:p w:rsidR="000966BA" w:rsidRDefault="00862337">
      <w:pPr>
        <w:ind w:left="-567" w:firstLine="567"/>
        <w:jc w:val="both"/>
        <w:rPr>
          <w:sz w:val="28"/>
          <w:szCs w:val="28"/>
        </w:rPr>
      </w:pPr>
      <w:r>
        <w:t xml:space="preserve">  (подпись)                                        (Ф.И.О.(последнее – при наличии))                                                      (дата)</w:t>
      </w:r>
    </w:p>
    <w:p w:rsidR="000966BA" w:rsidRDefault="00862337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__________________/__________________________________________/_____________</w:t>
      </w:r>
    </w:p>
    <w:p w:rsidR="000966BA" w:rsidRDefault="00862337">
      <w:pPr>
        <w:ind w:left="-567" w:firstLine="567"/>
        <w:jc w:val="both"/>
        <w:rPr>
          <w:sz w:val="28"/>
          <w:szCs w:val="28"/>
        </w:rPr>
      </w:pPr>
      <w:r>
        <w:t xml:space="preserve">  (подпись)                                        (Ф.И.О.(последнее – при наличии))                                                      (дата)</w:t>
      </w:r>
    </w:p>
    <w:p w:rsidR="000966BA" w:rsidRDefault="000966BA">
      <w:pPr>
        <w:ind w:left="-567" w:firstLine="567"/>
        <w:jc w:val="both"/>
        <w:rPr>
          <w:sz w:val="28"/>
          <w:szCs w:val="28"/>
        </w:rPr>
      </w:pPr>
    </w:p>
    <w:p w:rsidR="000966BA" w:rsidRDefault="00862337">
      <w:pPr>
        <w:ind w:left="-567" w:firstLine="567"/>
        <w:jc w:val="both"/>
        <w:rPr>
          <w:sz w:val="28"/>
          <w:szCs w:val="28"/>
        </w:rPr>
      </w:pPr>
      <w:r>
        <w:rPr>
          <w:sz w:val="28"/>
          <w:szCs w:val="28"/>
        </w:rPr>
        <w:t>С результатами проверочного листа ознакомлен(а): __________________________</w:t>
      </w:r>
    </w:p>
    <w:p w:rsidR="000966BA" w:rsidRDefault="00862337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</w:t>
      </w:r>
    </w:p>
    <w:p w:rsidR="000966BA" w:rsidRDefault="00862337">
      <w:pPr>
        <w:ind w:left="-567" w:firstLine="567"/>
        <w:jc w:val="both"/>
      </w:pPr>
      <w:r>
        <w:t>(фамилия, имя, отчество (последнее – при наличии), должность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подпись, печать (при наличии), дата)</w:t>
      </w:r>
      <w:r w:rsidR="00A2358A">
        <w:t>.</w:t>
      </w:r>
    </w:p>
    <w:p w:rsidR="00A2358A" w:rsidRDefault="00A2358A" w:rsidP="00A2358A">
      <w:pPr>
        <w:jc w:val="both"/>
        <w:rPr>
          <w:sz w:val="28"/>
          <w:szCs w:val="28"/>
        </w:rPr>
      </w:pPr>
    </w:p>
    <w:p w:rsidR="00A2358A" w:rsidRDefault="00A2358A" w:rsidP="00A2358A">
      <w:pPr>
        <w:jc w:val="both"/>
        <w:rPr>
          <w:sz w:val="28"/>
          <w:szCs w:val="28"/>
        </w:rPr>
      </w:pPr>
    </w:p>
    <w:p w:rsidR="00A2358A" w:rsidRDefault="00A2358A" w:rsidP="00A2358A">
      <w:pPr>
        <w:jc w:val="both"/>
        <w:rPr>
          <w:sz w:val="28"/>
          <w:szCs w:val="28"/>
        </w:rPr>
      </w:pPr>
    </w:p>
    <w:p w:rsidR="00A2358A" w:rsidRPr="00A2358A" w:rsidRDefault="00A2358A" w:rsidP="00A2358A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_________.»</w:t>
      </w:r>
    </w:p>
    <w:p w:rsidR="00A2358A" w:rsidRPr="00A2358A" w:rsidRDefault="00A2358A">
      <w:pPr>
        <w:ind w:left="-567" w:firstLine="567"/>
        <w:jc w:val="both"/>
        <w:rPr>
          <w:sz w:val="28"/>
          <w:szCs w:val="28"/>
        </w:rPr>
      </w:pPr>
    </w:p>
    <w:p w:rsidR="00A2358A" w:rsidRPr="00A2358A" w:rsidRDefault="00A2358A">
      <w:pPr>
        <w:ind w:left="-567" w:firstLine="567"/>
        <w:jc w:val="both"/>
        <w:rPr>
          <w:sz w:val="28"/>
          <w:szCs w:val="28"/>
        </w:rPr>
      </w:pPr>
    </w:p>
    <w:p w:rsidR="000966BA" w:rsidRDefault="000966BA">
      <w:pPr>
        <w:ind w:left="-567" w:firstLine="567"/>
        <w:jc w:val="both"/>
      </w:pPr>
    </w:p>
    <w:p w:rsidR="000966BA" w:rsidRDefault="000966BA">
      <w:pPr>
        <w:widowControl w:val="0"/>
        <w:jc w:val="both"/>
        <w:rPr>
          <w:sz w:val="28"/>
          <w:szCs w:val="28"/>
        </w:rPr>
      </w:pPr>
    </w:p>
    <w:p w:rsidR="000966BA" w:rsidRDefault="000966BA">
      <w:pPr>
        <w:widowControl w:val="0"/>
        <w:jc w:val="both"/>
        <w:rPr>
          <w:sz w:val="28"/>
          <w:szCs w:val="28"/>
        </w:rPr>
      </w:pPr>
    </w:p>
    <w:p w:rsidR="000966BA" w:rsidRDefault="000966BA">
      <w:pPr>
        <w:widowControl w:val="0"/>
        <w:jc w:val="both"/>
        <w:rPr>
          <w:sz w:val="28"/>
          <w:szCs w:val="28"/>
        </w:rPr>
      </w:pPr>
    </w:p>
    <w:p w:rsidR="000966BA" w:rsidRDefault="000966BA">
      <w:pPr>
        <w:widowControl w:val="0"/>
        <w:jc w:val="both"/>
        <w:rPr>
          <w:sz w:val="28"/>
          <w:szCs w:val="28"/>
        </w:rPr>
      </w:pPr>
    </w:p>
    <w:sectPr w:rsidR="000966BA">
      <w:pgSz w:w="11906" w:h="16838"/>
      <w:pgMar w:top="1134" w:right="567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701B" w:rsidRDefault="00B2701B">
      <w:r>
        <w:separator/>
      </w:r>
    </w:p>
  </w:endnote>
  <w:endnote w:type="continuationSeparator" w:id="0">
    <w:p w:rsidR="00B2701B" w:rsidRDefault="00B27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701B" w:rsidRDefault="00B2701B">
      <w:r>
        <w:separator/>
      </w:r>
    </w:p>
  </w:footnote>
  <w:footnote w:type="continuationSeparator" w:id="0">
    <w:p w:rsidR="00B2701B" w:rsidRDefault="00B270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F7E86"/>
    <w:multiLevelType w:val="hybridMultilevel"/>
    <w:tmpl w:val="4C4ECDA2"/>
    <w:lvl w:ilvl="0" w:tplc="4168C5BE">
      <w:start w:val="1"/>
      <w:numFmt w:val="decimal"/>
      <w:lvlText w:val="%1."/>
      <w:lvlJc w:val="left"/>
      <w:pPr>
        <w:ind w:left="720" w:hanging="360"/>
      </w:pPr>
    </w:lvl>
    <w:lvl w:ilvl="1" w:tplc="B22027DA">
      <w:start w:val="1"/>
      <w:numFmt w:val="lowerLetter"/>
      <w:lvlText w:val="%2."/>
      <w:lvlJc w:val="left"/>
      <w:pPr>
        <w:ind w:left="1440" w:hanging="360"/>
      </w:pPr>
    </w:lvl>
    <w:lvl w:ilvl="2" w:tplc="30800924">
      <w:start w:val="1"/>
      <w:numFmt w:val="lowerRoman"/>
      <w:lvlText w:val="%3."/>
      <w:lvlJc w:val="right"/>
      <w:pPr>
        <w:ind w:left="2160" w:hanging="180"/>
      </w:pPr>
    </w:lvl>
    <w:lvl w:ilvl="3" w:tplc="F6B4DD16">
      <w:start w:val="1"/>
      <w:numFmt w:val="decimal"/>
      <w:lvlText w:val="%4."/>
      <w:lvlJc w:val="left"/>
      <w:pPr>
        <w:ind w:left="2880" w:hanging="360"/>
      </w:pPr>
    </w:lvl>
    <w:lvl w:ilvl="4" w:tplc="49E4FE82">
      <w:start w:val="1"/>
      <w:numFmt w:val="lowerLetter"/>
      <w:lvlText w:val="%5."/>
      <w:lvlJc w:val="left"/>
      <w:pPr>
        <w:ind w:left="3600" w:hanging="360"/>
      </w:pPr>
    </w:lvl>
    <w:lvl w:ilvl="5" w:tplc="7662FF08">
      <w:start w:val="1"/>
      <w:numFmt w:val="lowerRoman"/>
      <w:lvlText w:val="%6."/>
      <w:lvlJc w:val="right"/>
      <w:pPr>
        <w:ind w:left="4320" w:hanging="180"/>
      </w:pPr>
    </w:lvl>
    <w:lvl w:ilvl="6" w:tplc="5BF09128">
      <w:start w:val="1"/>
      <w:numFmt w:val="decimal"/>
      <w:lvlText w:val="%7."/>
      <w:lvlJc w:val="left"/>
      <w:pPr>
        <w:ind w:left="5040" w:hanging="360"/>
      </w:pPr>
    </w:lvl>
    <w:lvl w:ilvl="7" w:tplc="3B7A422A">
      <w:start w:val="1"/>
      <w:numFmt w:val="lowerLetter"/>
      <w:lvlText w:val="%8."/>
      <w:lvlJc w:val="left"/>
      <w:pPr>
        <w:ind w:left="5760" w:hanging="360"/>
      </w:pPr>
    </w:lvl>
    <w:lvl w:ilvl="8" w:tplc="98EC0B4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991370"/>
    <w:multiLevelType w:val="hybridMultilevel"/>
    <w:tmpl w:val="CB26266C"/>
    <w:lvl w:ilvl="0" w:tplc="3F585DF2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</w:lvl>
    <w:lvl w:ilvl="1" w:tplc="92AC6D1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C1A40C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3D46A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E87C3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842351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D02F73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FA65E6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95817C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D07D85"/>
    <w:multiLevelType w:val="hybridMultilevel"/>
    <w:tmpl w:val="507297F4"/>
    <w:lvl w:ilvl="0" w:tplc="FE42F81C">
      <w:start w:val="1"/>
      <w:numFmt w:val="decimal"/>
      <w:lvlText w:val="%1."/>
      <w:lvlJc w:val="left"/>
      <w:pPr>
        <w:ind w:left="720" w:hanging="360"/>
      </w:pPr>
    </w:lvl>
    <w:lvl w:ilvl="1" w:tplc="E66655CC">
      <w:start w:val="1"/>
      <w:numFmt w:val="lowerLetter"/>
      <w:lvlText w:val="%2."/>
      <w:lvlJc w:val="left"/>
      <w:pPr>
        <w:ind w:left="1440" w:hanging="360"/>
      </w:pPr>
    </w:lvl>
    <w:lvl w:ilvl="2" w:tplc="E424E0F0">
      <w:start w:val="1"/>
      <w:numFmt w:val="lowerRoman"/>
      <w:lvlText w:val="%3."/>
      <w:lvlJc w:val="right"/>
      <w:pPr>
        <w:ind w:left="2160" w:hanging="180"/>
      </w:pPr>
    </w:lvl>
    <w:lvl w:ilvl="3" w:tplc="1CD463D8">
      <w:start w:val="1"/>
      <w:numFmt w:val="decimal"/>
      <w:lvlText w:val="%4."/>
      <w:lvlJc w:val="left"/>
      <w:pPr>
        <w:ind w:left="2880" w:hanging="360"/>
      </w:pPr>
    </w:lvl>
    <w:lvl w:ilvl="4" w:tplc="DAF811F0">
      <w:start w:val="1"/>
      <w:numFmt w:val="lowerLetter"/>
      <w:lvlText w:val="%5."/>
      <w:lvlJc w:val="left"/>
      <w:pPr>
        <w:ind w:left="3600" w:hanging="360"/>
      </w:pPr>
    </w:lvl>
    <w:lvl w:ilvl="5" w:tplc="5FF46F0C">
      <w:start w:val="1"/>
      <w:numFmt w:val="lowerRoman"/>
      <w:lvlText w:val="%6."/>
      <w:lvlJc w:val="right"/>
      <w:pPr>
        <w:ind w:left="4320" w:hanging="180"/>
      </w:pPr>
    </w:lvl>
    <w:lvl w:ilvl="6" w:tplc="8966793A">
      <w:start w:val="1"/>
      <w:numFmt w:val="decimal"/>
      <w:lvlText w:val="%7."/>
      <w:lvlJc w:val="left"/>
      <w:pPr>
        <w:ind w:left="5040" w:hanging="360"/>
      </w:pPr>
    </w:lvl>
    <w:lvl w:ilvl="7" w:tplc="290C268A">
      <w:start w:val="1"/>
      <w:numFmt w:val="lowerLetter"/>
      <w:lvlText w:val="%8."/>
      <w:lvlJc w:val="left"/>
      <w:pPr>
        <w:ind w:left="5760" w:hanging="360"/>
      </w:pPr>
    </w:lvl>
    <w:lvl w:ilvl="8" w:tplc="0A74529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430E7"/>
    <w:multiLevelType w:val="hybridMultilevel"/>
    <w:tmpl w:val="7546A286"/>
    <w:lvl w:ilvl="0" w:tplc="78248F32">
      <w:start w:val="1"/>
      <w:numFmt w:val="decimal"/>
      <w:lvlText w:val="%1."/>
      <w:lvlJc w:val="left"/>
      <w:pPr>
        <w:ind w:left="1116" w:hanging="408"/>
      </w:pPr>
    </w:lvl>
    <w:lvl w:ilvl="1" w:tplc="1E029C22">
      <w:start w:val="1"/>
      <w:numFmt w:val="lowerLetter"/>
      <w:lvlText w:val="%2."/>
      <w:lvlJc w:val="left"/>
      <w:pPr>
        <w:ind w:left="1788" w:hanging="360"/>
      </w:pPr>
    </w:lvl>
    <w:lvl w:ilvl="2" w:tplc="550AF3D8">
      <w:start w:val="1"/>
      <w:numFmt w:val="lowerRoman"/>
      <w:lvlText w:val="%3."/>
      <w:lvlJc w:val="right"/>
      <w:pPr>
        <w:ind w:left="2508" w:hanging="180"/>
      </w:pPr>
    </w:lvl>
    <w:lvl w:ilvl="3" w:tplc="4CEC61C2">
      <w:start w:val="1"/>
      <w:numFmt w:val="decimal"/>
      <w:lvlText w:val="%4."/>
      <w:lvlJc w:val="left"/>
      <w:pPr>
        <w:ind w:left="3228" w:hanging="360"/>
      </w:pPr>
    </w:lvl>
    <w:lvl w:ilvl="4" w:tplc="B764F11A">
      <w:start w:val="1"/>
      <w:numFmt w:val="lowerLetter"/>
      <w:lvlText w:val="%5."/>
      <w:lvlJc w:val="left"/>
      <w:pPr>
        <w:ind w:left="3948" w:hanging="360"/>
      </w:pPr>
    </w:lvl>
    <w:lvl w:ilvl="5" w:tplc="09EE2D4A">
      <w:start w:val="1"/>
      <w:numFmt w:val="lowerRoman"/>
      <w:lvlText w:val="%6."/>
      <w:lvlJc w:val="right"/>
      <w:pPr>
        <w:ind w:left="4668" w:hanging="180"/>
      </w:pPr>
    </w:lvl>
    <w:lvl w:ilvl="6" w:tplc="E200B040">
      <w:start w:val="1"/>
      <w:numFmt w:val="decimal"/>
      <w:lvlText w:val="%7."/>
      <w:lvlJc w:val="left"/>
      <w:pPr>
        <w:ind w:left="5388" w:hanging="360"/>
      </w:pPr>
    </w:lvl>
    <w:lvl w:ilvl="7" w:tplc="087274AE">
      <w:start w:val="1"/>
      <w:numFmt w:val="lowerLetter"/>
      <w:lvlText w:val="%8."/>
      <w:lvlJc w:val="left"/>
      <w:pPr>
        <w:ind w:left="6108" w:hanging="360"/>
      </w:pPr>
    </w:lvl>
    <w:lvl w:ilvl="8" w:tplc="C3FE6AEE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4F62F30"/>
    <w:multiLevelType w:val="hybridMultilevel"/>
    <w:tmpl w:val="E6109540"/>
    <w:lvl w:ilvl="0" w:tplc="5B2E870A">
      <w:start w:val="1"/>
      <w:numFmt w:val="decimal"/>
      <w:lvlText w:val="%1."/>
      <w:lvlJc w:val="left"/>
      <w:pPr>
        <w:ind w:left="1065" w:hanging="360"/>
      </w:pPr>
    </w:lvl>
    <w:lvl w:ilvl="1" w:tplc="2C3424BE">
      <w:start w:val="1"/>
      <w:numFmt w:val="lowerLetter"/>
      <w:lvlText w:val="%2."/>
      <w:lvlJc w:val="left"/>
      <w:pPr>
        <w:ind w:left="1785" w:hanging="360"/>
      </w:pPr>
    </w:lvl>
    <w:lvl w:ilvl="2" w:tplc="F70EA032">
      <w:start w:val="1"/>
      <w:numFmt w:val="lowerRoman"/>
      <w:lvlText w:val="%3."/>
      <w:lvlJc w:val="right"/>
      <w:pPr>
        <w:ind w:left="2505" w:hanging="180"/>
      </w:pPr>
    </w:lvl>
    <w:lvl w:ilvl="3" w:tplc="249E4B7C">
      <w:start w:val="1"/>
      <w:numFmt w:val="decimal"/>
      <w:lvlText w:val="%4."/>
      <w:lvlJc w:val="left"/>
      <w:pPr>
        <w:ind w:left="3225" w:hanging="360"/>
      </w:pPr>
    </w:lvl>
    <w:lvl w:ilvl="4" w:tplc="4C42CD2A">
      <w:start w:val="1"/>
      <w:numFmt w:val="lowerLetter"/>
      <w:lvlText w:val="%5."/>
      <w:lvlJc w:val="left"/>
      <w:pPr>
        <w:ind w:left="3945" w:hanging="360"/>
      </w:pPr>
    </w:lvl>
    <w:lvl w:ilvl="5" w:tplc="6B3683A2">
      <w:start w:val="1"/>
      <w:numFmt w:val="lowerRoman"/>
      <w:lvlText w:val="%6."/>
      <w:lvlJc w:val="right"/>
      <w:pPr>
        <w:ind w:left="4665" w:hanging="180"/>
      </w:pPr>
    </w:lvl>
    <w:lvl w:ilvl="6" w:tplc="6C94F020">
      <w:start w:val="1"/>
      <w:numFmt w:val="decimal"/>
      <w:lvlText w:val="%7."/>
      <w:lvlJc w:val="left"/>
      <w:pPr>
        <w:ind w:left="5385" w:hanging="360"/>
      </w:pPr>
    </w:lvl>
    <w:lvl w:ilvl="7" w:tplc="9A8EBAD8">
      <w:start w:val="1"/>
      <w:numFmt w:val="lowerLetter"/>
      <w:lvlText w:val="%8."/>
      <w:lvlJc w:val="left"/>
      <w:pPr>
        <w:ind w:left="6105" w:hanging="360"/>
      </w:pPr>
    </w:lvl>
    <w:lvl w:ilvl="8" w:tplc="9AF6725E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55B97444"/>
    <w:multiLevelType w:val="hybridMultilevel"/>
    <w:tmpl w:val="63482E6C"/>
    <w:lvl w:ilvl="0" w:tplc="42669E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FB04C1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E48C90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8BC43A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42681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252326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5A299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1BEBAF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9B2144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55346C9"/>
    <w:multiLevelType w:val="hybridMultilevel"/>
    <w:tmpl w:val="854064AC"/>
    <w:lvl w:ilvl="0" w:tplc="743ECB20">
      <w:start w:val="1"/>
      <w:numFmt w:val="decimal"/>
      <w:lvlText w:val="%1."/>
      <w:lvlJc w:val="left"/>
      <w:pPr>
        <w:ind w:left="1068" w:hanging="360"/>
      </w:pPr>
    </w:lvl>
    <w:lvl w:ilvl="1" w:tplc="FE68901A">
      <w:start w:val="1"/>
      <w:numFmt w:val="lowerLetter"/>
      <w:lvlText w:val="%2."/>
      <w:lvlJc w:val="left"/>
      <w:pPr>
        <w:ind w:left="1788" w:hanging="360"/>
      </w:pPr>
    </w:lvl>
    <w:lvl w:ilvl="2" w:tplc="CE8A0D22">
      <w:start w:val="1"/>
      <w:numFmt w:val="lowerRoman"/>
      <w:lvlText w:val="%3."/>
      <w:lvlJc w:val="right"/>
      <w:pPr>
        <w:ind w:left="2508" w:hanging="180"/>
      </w:pPr>
    </w:lvl>
    <w:lvl w:ilvl="3" w:tplc="3A30A484">
      <w:start w:val="1"/>
      <w:numFmt w:val="decimal"/>
      <w:lvlText w:val="%4."/>
      <w:lvlJc w:val="left"/>
      <w:pPr>
        <w:ind w:left="3228" w:hanging="360"/>
      </w:pPr>
    </w:lvl>
    <w:lvl w:ilvl="4" w:tplc="CE145346">
      <w:start w:val="1"/>
      <w:numFmt w:val="lowerLetter"/>
      <w:lvlText w:val="%5."/>
      <w:lvlJc w:val="left"/>
      <w:pPr>
        <w:ind w:left="3948" w:hanging="360"/>
      </w:pPr>
    </w:lvl>
    <w:lvl w:ilvl="5" w:tplc="0E2E5854">
      <w:start w:val="1"/>
      <w:numFmt w:val="lowerRoman"/>
      <w:lvlText w:val="%6."/>
      <w:lvlJc w:val="right"/>
      <w:pPr>
        <w:ind w:left="4668" w:hanging="180"/>
      </w:pPr>
    </w:lvl>
    <w:lvl w:ilvl="6" w:tplc="E4BE0412">
      <w:start w:val="1"/>
      <w:numFmt w:val="decimal"/>
      <w:lvlText w:val="%7."/>
      <w:lvlJc w:val="left"/>
      <w:pPr>
        <w:ind w:left="5388" w:hanging="360"/>
      </w:pPr>
    </w:lvl>
    <w:lvl w:ilvl="7" w:tplc="7CD0B776">
      <w:start w:val="1"/>
      <w:numFmt w:val="lowerLetter"/>
      <w:lvlText w:val="%8."/>
      <w:lvlJc w:val="left"/>
      <w:pPr>
        <w:ind w:left="6108" w:hanging="360"/>
      </w:pPr>
    </w:lvl>
    <w:lvl w:ilvl="8" w:tplc="9DA65438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BE2609D"/>
    <w:multiLevelType w:val="hybridMultilevel"/>
    <w:tmpl w:val="40FC79A2"/>
    <w:lvl w:ilvl="0" w:tplc="C0A64E88">
      <w:start w:val="1"/>
      <w:numFmt w:val="decimal"/>
      <w:lvlText w:val="%1."/>
      <w:lvlJc w:val="left"/>
      <w:pPr>
        <w:ind w:left="936" w:hanging="576"/>
      </w:pPr>
      <w:rPr>
        <w:rFonts w:eastAsia="Calibri"/>
      </w:rPr>
    </w:lvl>
    <w:lvl w:ilvl="1" w:tplc="23F4BFA4">
      <w:start w:val="1"/>
      <w:numFmt w:val="lowerLetter"/>
      <w:lvlText w:val="%2."/>
      <w:lvlJc w:val="left"/>
      <w:pPr>
        <w:ind w:left="1440" w:hanging="360"/>
      </w:pPr>
    </w:lvl>
    <w:lvl w:ilvl="2" w:tplc="865CF664">
      <w:start w:val="1"/>
      <w:numFmt w:val="lowerRoman"/>
      <w:lvlText w:val="%3."/>
      <w:lvlJc w:val="right"/>
      <w:pPr>
        <w:ind w:left="2160" w:hanging="180"/>
      </w:pPr>
    </w:lvl>
    <w:lvl w:ilvl="3" w:tplc="054C911C">
      <w:start w:val="1"/>
      <w:numFmt w:val="decimal"/>
      <w:lvlText w:val="%4."/>
      <w:lvlJc w:val="left"/>
      <w:pPr>
        <w:ind w:left="2880" w:hanging="360"/>
      </w:pPr>
    </w:lvl>
    <w:lvl w:ilvl="4" w:tplc="422E54EC">
      <w:start w:val="1"/>
      <w:numFmt w:val="lowerLetter"/>
      <w:lvlText w:val="%5."/>
      <w:lvlJc w:val="left"/>
      <w:pPr>
        <w:ind w:left="3600" w:hanging="360"/>
      </w:pPr>
    </w:lvl>
    <w:lvl w:ilvl="5" w:tplc="33CC6964">
      <w:start w:val="1"/>
      <w:numFmt w:val="lowerRoman"/>
      <w:lvlText w:val="%6."/>
      <w:lvlJc w:val="right"/>
      <w:pPr>
        <w:ind w:left="4320" w:hanging="180"/>
      </w:pPr>
    </w:lvl>
    <w:lvl w:ilvl="6" w:tplc="8C1A56E0">
      <w:start w:val="1"/>
      <w:numFmt w:val="decimal"/>
      <w:lvlText w:val="%7."/>
      <w:lvlJc w:val="left"/>
      <w:pPr>
        <w:ind w:left="5040" w:hanging="360"/>
      </w:pPr>
    </w:lvl>
    <w:lvl w:ilvl="7" w:tplc="30489140">
      <w:start w:val="1"/>
      <w:numFmt w:val="lowerLetter"/>
      <w:lvlText w:val="%8."/>
      <w:lvlJc w:val="left"/>
      <w:pPr>
        <w:ind w:left="5760" w:hanging="360"/>
      </w:pPr>
    </w:lvl>
    <w:lvl w:ilvl="8" w:tplc="ABA088D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7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6BA"/>
    <w:rsid w:val="000966BA"/>
    <w:rsid w:val="003C2CD4"/>
    <w:rsid w:val="00702E76"/>
    <w:rsid w:val="00862337"/>
    <w:rsid w:val="00A2358A"/>
    <w:rsid w:val="00B2701B"/>
    <w:rsid w:val="00E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251522-4853-4C97-88E9-50C16789D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link w:val="10"/>
    <w:qFormat/>
    <w:pPr>
      <w:keepNext/>
      <w:spacing w:before="240" w:after="60"/>
      <w:outlineLvl w:val="0"/>
    </w:pPr>
    <w:rPr>
      <w:rFonts w:ascii="Calibri Light" w:hAnsi="Calibri Light"/>
      <w:b/>
      <w:bCs/>
      <w:sz w:val="32"/>
      <w:szCs w:val="32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qFormat/>
    <w:pPr>
      <w:keepNext/>
      <w:ind w:right="40"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pPr>
      <w:keepNext/>
      <w:jc w:val="center"/>
      <w:outlineLvl w:val="3"/>
    </w:pPr>
    <w:rPr>
      <w:b/>
      <w:sz w:val="3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/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 Indent"/>
    <w:basedOn w:val="a"/>
    <w:link w:val="afb"/>
    <w:pPr>
      <w:widowControl w:val="0"/>
      <w:tabs>
        <w:tab w:val="left" w:pos="3544"/>
      </w:tabs>
      <w:ind w:firstLine="720"/>
      <w:jc w:val="both"/>
    </w:pPr>
    <w:rPr>
      <w:sz w:val="24"/>
    </w:rPr>
  </w:style>
  <w:style w:type="character" w:customStyle="1" w:styleId="afb">
    <w:name w:val="Основной текст с отступом Знак"/>
    <w:link w:val="afa"/>
    <w:rPr>
      <w:sz w:val="24"/>
      <w:lang w:val="ru-RU" w:eastAsia="ru-RU" w:bidi="ar-SA"/>
    </w:rPr>
  </w:style>
  <w:style w:type="paragraph" w:customStyle="1" w:styleId="ConsPlusNormal">
    <w:name w:val="ConsPlusNormal"/>
    <w:pPr>
      <w:ind w:firstLine="720"/>
    </w:pPr>
    <w:rPr>
      <w:rFonts w:ascii="Arial" w:hAnsi="Arial" w:cs="Arial"/>
      <w:lang w:eastAsia="en-US"/>
    </w:rPr>
  </w:style>
  <w:style w:type="character" w:customStyle="1" w:styleId="10">
    <w:name w:val="Заголовок 1 Знак"/>
    <w:link w:val="1"/>
    <w:rPr>
      <w:rFonts w:ascii="Calibri Light" w:eastAsia="Times New Roman" w:hAnsi="Calibri Light" w:cs="Times New Roman"/>
      <w:b/>
      <w:bCs/>
      <w:sz w:val="32"/>
      <w:szCs w:val="32"/>
    </w:rPr>
  </w:style>
  <w:style w:type="character" w:customStyle="1" w:styleId="ac">
    <w:name w:val="Верхний колонтитул Знак"/>
    <w:basedOn w:val="a0"/>
    <w:link w:val="ab"/>
  </w:style>
  <w:style w:type="character" w:customStyle="1" w:styleId="ae">
    <w:name w:val="Нижний колонтитул Знак"/>
    <w:basedOn w:val="a0"/>
    <w:link w:val="ad"/>
  </w:style>
  <w:style w:type="character" w:customStyle="1" w:styleId="docdata">
    <w:name w:val="docdata"/>
    <w:aliases w:val="docy,v5,1761,bqiaagaaeyqcaaagiaiaaam/baaabu0eaaaaaaaaaaaaaaaaaaaaaaaaaaaaaaaaaaaaaaaaaaaaaaaaaaaaaaaaaaaaaaaaaaaaaaaaaaaaaaaaaaaaaaaaaaaaaaaaaaaaaaaaaaaaaaaaaaaaaaaaaaaaaaaaaaaaaaaaaaaaaaaaaaaaaaaaaaaaaaaaaaaaaaaaaaaaaaaaaaaaaaaaaaaaaaaaaaaaaaaa"/>
    <w:rsid w:val="003C2C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718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6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2725</Words>
  <Characters>15539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18228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</dc:creator>
  <cp:lastModifiedBy>Коваленко Владимир Александрович</cp:lastModifiedBy>
  <cp:revision>2</cp:revision>
  <dcterms:created xsi:type="dcterms:W3CDTF">2023-05-29T07:20:00Z</dcterms:created>
  <dcterms:modified xsi:type="dcterms:W3CDTF">2023-05-29T07:20:00Z</dcterms:modified>
  <cp:version>1048576</cp:version>
</cp:coreProperties>
</file>