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49" w:rsidRDefault="00353216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 обращений,</w:t>
      </w:r>
    </w:p>
    <w:p w:rsidR="00D76F49" w:rsidRDefault="00353216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D9515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-ом квартале 202</w:t>
      </w:r>
      <w:r w:rsidR="00D9515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 граждан, объединений граждан, в том числе юридических лиц, поступивших в адрес министерства транспорта и дорожного хозяйства Новосибирской области, а также результатов рассмотрения обращений и принятых мер</w:t>
      </w:r>
    </w:p>
    <w:p w:rsidR="00D76F49" w:rsidRDefault="00D76F4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F49" w:rsidRDefault="0035321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Рассмотрение письменных и личных обращений, устных обращений и запросов граждан, объединений граждан, в том числе юридических лиц, поступивших в адрес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дорожного хозяйства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 транспорта </w:t>
      </w:r>
      <w:r>
        <w:rPr>
          <w:rFonts w:ascii="Times New Roman" w:hAnsi="Times New Roman" w:cs="Times New Roman"/>
          <w:sz w:val="28"/>
          <w:szCs w:val="28"/>
        </w:rPr>
        <w:t>(далее – министерство)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F49" w:rsidRDefault="00353216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приемную Минтранса, а также в форме электронного документа на официальный сайт министерства, либо на электронную почту. Личные обращения граждан рассматриваются на личных приемах, проводимых министром транспорта и дорожного хозяйства Новосибирской области либо лицом его замещающим.</w:t>
      </w:r>
    </w:p>
    <w:p w:rsidR="00D76F49" w:rsidRDefault="0037340A">
      <w:pPr>
        <w:spacing w:line="276" w:lineRule="auto"/>
        <w:ind w:firstLine="720"/>
        <w:jc w:val="both"/>
        <w:rPr>
          <w:rStyle w:val="af5"/>
          <w:rFonts w:ascii="Times New Roman" w:hAnsi="Times New Roman"/>
          <w:b w:val="0"/>
          <w:bCs/>
          <w:color w:val="FF0000"/>
          <w:sz w:val="28"/>
          <w:szCs w:val="28"/>
        </w:rPr>
      </w:pP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</w:t>
      </w:r>
      <w:r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по 31</w:t>
      </w:r>
      <w:r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</w:t>
      </w:r>
      <w:r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министерство транспорта и дорожного хозяйства Новосибирской области поступило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A43">
        <w:rPr>
          <w:rFonts w:ascii="Times New Roman" w:hAnsi="Times New Roman" w:cs="Times New Roman"/>
          <w:color w:val="000000" w:themeColor="text1"/>
          <w:sz w:val="28"/>
          <w:szCs w:val="28"/>
        </w:rPr>
        <w:t>583</w:t>
      </w: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обращения, (в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2023</w:t>
      </w: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года-</w:t>
      </w:r>
      <w:r w:rsidR="0031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первом квартале 2023 года - </w:t>
      </w:r>
      <w:r w:rsidR="00313A43">
        <w:rPr>
          <w:rFonts w:ascii="Times New Roman" w:hAnsi="Times New Roman" w:cs="Times New Roman"/>
          <w:color w:val="000000" w:themeColor="text1"/>
          <w:sz w:val="28"/>
          <w:szCs w:val="28"/>
        </w:rPr>
        <w:t>406</w:t>
      </w:r>
      <w:r w:rsidR="00353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5321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индивидуальных и коллективных обращений, включая обращения объединений граждан, в том числе юридических лиц. Количество поступивших обращений в данном квартале уменьшилось в сравнении с </w:t>
      </w:r>
      <w:r w:rsidR="005E72D7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четвертым</w:t>
      </w:r>
      <w:r w:rsidR="0035321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на </w:t>
      </w:r>
      <w:r w:rsidR="005E72D7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10</w:t>
      </w:r>
      <w:r w:rsidR="0035321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5E72D7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64</w:t>
      </w:r>
      <w:r w:rsidR="0035321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обращения), с </w:t>
      </w:r>
      <w:r w:rsidR="005E72D7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первым</w:t>
      </w:r>
      <w:r w:rsidR="0035321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прошлого года увеличилось на </w:t>
      </w:r>
      <w:r w:rsidR="005E72D7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44</w:t>
      </w:r>
      <w:r w:rsidR="0035321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5E72D7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177 </w:t>
      </w:r>
      <w:r w:rsidR="0035321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</w:t>
      </w:r>
      <w:r w:rsidR="005E72D7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="0035321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D76F49" w:rsidRDefault="00D76F49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D76F49" w:rsidRDefault="00353216">
      <w:pPr>
        <w:spacing w:line="276" w:lineRule="auto"/>
        <w:ind w:firstLine="720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6003228" cy="2401289"/>
            <wp:effectExtent l="0" t="0" r="17145" b="18415"/>
            <wp:docPr id="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6F49" w:rsidRDefault="00353216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D76F49" w:rsidRDefault="00D76F49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D76F49" w:rsidRDefault="00D76F49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D76F49" w:rsidRDefault="00D76F49">
      <w:pPr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D76F49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D76F49" w:rsidRDefault="00D76F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D76F49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15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в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из управления по работе с обращениями граждан - общественной приемной Губернатора области (в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-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152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квартале 202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-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Статистика показывает, что наибольшее количество поступивших обращений из общественной приемной Губернатора составило в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В сравнении с четвертым кварталом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прошло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года больше на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6 обращений). Относительно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квартала 202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последние три месяца текущего года количество обращений  увеличилось на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151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обращений). </w:t>
      </w: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E72D7">
        <w:rPr>
          <w:rFonts w:ascii="Times New Roman" w:hAnsi="Times New Roman" w:cs="Times New Roman"/>
          <w:sz w:val="28"/>
          <w:szCs w:val="28"/>
        </w:rPr>
        <w:t>425</w:t>
      </w:r>
      <w:r w:rsidR="005E72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поступило непосредственно в министерство, в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поступило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495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года - 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343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E72D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обращений в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меньш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илось в сравнении с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кварталом на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кварталом прошлого года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6F49" w:rsidRDefault="00D76F4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86494" cy="3133720"/>
            <wp:effectExtent l="0" t="0" r="635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76F49" w:rsidRDefault="00D76F4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Из числа письменных обращений в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412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обращений, в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поступило 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556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обращений, в 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3</w:t>
      </w:r>
      <w:r w:rsidR="00CA2D3F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письменных обращений в 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уменьшилось в сравнении с 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четверты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 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первым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прошлого года увеличилось на 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перв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ом квартале 202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было зарегистрировано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345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2023 года -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353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заявлений. В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202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-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88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заявлений. Количество заявлений в данном квартале у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меньшил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ось в сравнении с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на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8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прошлым годом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первого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квартала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увеличилось 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292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90453A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257</w:t>
      </w:r>
      <w:r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заявлений).</w:t>
      </w:r>
    </w:p>
    <w:p w:rsidR="00D76F49" w:rsidRDefault="00353216">
      <w:pPr>
        <w:tabs>
          <w:tab w:val="left" w:pos="87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 w:rsidR="00571031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="0090453A">
        <w:rPr>
          <w:rFonts w:ascii="Times New Roman" w:hAnsi="Times New Roman" w:cs="Times New Roman"/>
          <w:color w:val="000000" w:themeColor="text1"/>
          <w:sz w:val="28"/>
          <w:szCs w:val="28"/>
        </w:rPr>
        <w:t>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текущего года было зарегистрировано </w:t>
      </w:r>
      <w:r w:rsidR="00571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устных обращений</w:t>
      </w:r>
      <w:r w:rsidR="00571031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031">
        <w:rPr>
          <w:rFonts w:ascii="Times New Roman" w:hAnsi="Times New Roman" w:cs="Times New Roman"/>
          <w:color w:val="000000" w:themeColor="text1"/>
          <w:sz w:val="28"/>
          <w:szCs w:val="28"/>
        </w:rPr>
        <w:t>4 квартале 2023 года – 5,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03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0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571031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57103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1787">
        <w:rPr>
          <w:rFonts w:ascii="Times New Roman" w:hAnsi="Times New Roman" w:cs="Times New Roman"/>
          <w:color w:val="000000" w:themeColor="text1"/>
          <w:sz w:val="28"/>
          <w:szCs w:val="28"/>
        </w:rPr>
        <w:t>устное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F17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</w:t>
      </w:r>
      <w:r w:rsidR="000605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577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текущего года на личный 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57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министр</w:t>
      </w:r>
      <w:r w:rsidR="0006057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577">
        <w:rPr>
          <w:rFonts w:ascii="Times New Roman" w:hAnsi="Times New Roman" w:cs="Times New Roman"/>
          <w:color w:val="000000" w:themeColor="text1"/>
          <w:sz w:val="28"/>
          <w:szCs w:val="28"/>
        </w:rPr>
        <w:t>обратилось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57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="00060577">
        <w:rPr>
          <w:rFonts w:ascii="Times New Roman" w:hAnsi="Times New Roman" w:cs="Times New Roman"/>
          <w:color w:val="000000" w:themeColor="text1"/>
          <w:sz w:val="28"/>
          <w:szCs w:val="28"/>
        </w:rPr>
        <w:t>а. В 4 квартале 2023 года - 1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060577">
        <w:rPr>
          <w:rFonts w:ascii="Times New Roman" w:hAnsi="Times New Roman" w:cs="Times New Roman"/>
          <w:color w:val="000000" w:themeColor="text1"/>
          <w:sz w:val="28"/>
          <w:szCs w:val="28"/>
        </w:rPr>
        <w:t>первом квартале прошлого года был принят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5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гражданин. </w:t>
      </w:r>
    </w:p>
    <w:p w:rsidR="00D76F49" w:rsidRDefault="00D76F4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905625" cy="5962650"/>
            <wp:effectExtent l="0" t="0" r="9525" b="0"/>
            <wp:docPr id="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76F49" w:rsidRDefault="00353216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04C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 квартале 2024 года 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четвертом и </w:t>
      </w:r>
      <w:r w:rsidR="00304C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по электронной почте не было зарегистрировано ни одного обращения.</w:t>
      </w:r>
    </w:p>
    <w:p w:rsidR="00D76F49" w:rsidRDefault="00353216">
      <w:pPr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66947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E6694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было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жалоб, в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242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жалоба. В сравнении с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количество жалоб уменьшилось на 5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кварталом прошлого года уменьшилось на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перв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квартале 202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запросов, в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года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смс-обращения, в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поступило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года смс-сообщени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й не поступало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текущего года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4 квартале 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 предложения. В четвертом квартале 202</w:t>
      </w:r>
      <w:r w:rsidR="00905A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предложений от граждан не поступало. </w:t>
      </w: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48475" cy="3514725"/>
            <wp:effectExtent l="0" t="0" r="9525" b="9525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D76F49" w:rsidRDefault="00D76F4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49" w:rsidRDefault="00D76F4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направлены ответы заявителям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 в письменной и устной форме даны разъяснения и рекомендации.</w:t>
      </w: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обращения рассмотрены в соответствии с Федеральным законом от 02.05.2006 № 59-ФЗ «О порядке рассмотрения обращений граждан Российской Федерации», Регламентом министерства, Инструкцией по организации работы с обращениями граждан и проведению личного приема граждан в министерстве транспорта и дорожного хозяйства Новосибирской области», утвержденной приказом министерства от 12.04.2017 № 60.</w:t>
      </w:r>
    </w:p>
    <w:p w:rsidR="00D76F49" w:rsidRDefault="0035321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Заявителям даны письменные ответы в установленные действующим законодательством сроки.</w:t>
      </w:r>
    </w:p>
    <w:p w:rsidR="00D76F49" w:rsidRDefault="00353216">
      <w:pPr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Организация работы с обращениями граждан в министерстве транспорта и дорожного хозяйства Новосибирской области позволила в </w:t>
      </w:r>
      <w:r w:rsidR="00240E23">
        <w:rPr>
          <w:rFonts w:ascii="Times New Roman" w:eastAsia="Times New Roman" w:hAnsi="Times New Roman"/>
          <w:sz w:val="28"/>
          <w:szCs w:val="28"/>
          <w:lang w:eastAsia="ru-RU"/>
        </w:rPr>
        <w:t>первом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202</w:t>
      </w:r>
      <w:r w:rsidR="00240E2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 своевременное, объективное и всестороннее рассмотрение обращений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D76F49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67" w:rsidRDefault="00DB1F67">
      <w:r>
        <w:separator/>
      </w:r>
    </w:p>
  </w:endnote>
  <w:endnote w:type="continuationSeparator" w:id="0">
    <w:p w:rsidR="00DB1F67" w:rsidRDefault="00DB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67" w:rsidRDefault="00DB1F67">
      <w:r>
        <w:separator/>
      </w:r>
    </w:p>
  </w:footnote>
  <w:footnote w:type="continuationSeparator" w:id="0">
    <w:p w:rsidR="00DB1F67" w:rsidRDefault="00DB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D373F"/>
    <w:multiLevelType w:val="hybridMultilevel"/>
    <w:tmpl w:val="3460D6FA"/>
    <w:lvl w:ilvl="0" w:tplc="D50A5A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6F2C6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CAB60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82AB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8EEA8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28EA6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74E1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48836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1E24E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DB669B"/>
    <w:multiLevelType w:val="hybridMultilevel"/>
    <w:tmpl w:val="3C24902A"/>
    <w:lvl w:ilvl="0" w:tplc="2FD0B1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9543E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9C627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B82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5EE6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74882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F45C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6C413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C212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49"/>
    <w:rsid w:val="00060577"/>
    <w:rsid w:val="00240E23"/>
    <w:rsid w:val="00304C53"/>
    <w:rsid w:val="00313A43"/>
    <w:rsid w:val="00353216"/>
    <w:rsid w:val="0037340A"/>
    <w:rsid w:val="00571031"/>
    <w:rsid w:val="00585830"/>
    <w:rsid w:val="005E72D7"/>
    <w:rsid w:val="0090453A"/>
    <w:rsid w:val="00905A0D"/>
    <w:rsid w:val="009C3625"/>
    <w:rsid w:val="00CA2D3F"/>
    <w:rsid w:val="00D76F49"/>
    <w:rsid w:val="00D95154"/>
    <w:rsid w:val="00DB1F67"/>
    <w:rsid w:val="00DF1787"/>
    <w:rsid w:val="00E66947"/>
    <w:rsid w:val="00E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38BF"/>
  <w15:docId w15:val="{277BA28D-C6EF-424C-AE2C-D941FB5A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Strong"/>
    <w:basedOn w:val="a0"/>
    <w:uiPriority w:val="22"/>
    <w:qFormat/>
    <w:rPr>
      <w:rFonts w:cs="Times New Roman"/>
      <w:b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hAnsi="Calibri" w:cs="Calibri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 в Минтранс НСО в первом квартале 2024 года в сравнении с четвертым  кварталом  2023 года  </a:t>
            </a:r>
            <a:endParaRPr lang="ru-RU"/>
          </a:p>
          <a:p>
            <a:pPr>
              <a:defRPr/>
            </a:pPr>
            <a:r>
              <a:rPr lang="ru-RU" sz="1200"/>
              <a:t>и первым кварталом 2023 года  </a:t>
            </a:r>
            <a:endParaRPr lang="ru-RU"/>
          </a:p>
        </c:rich>
      </c:tx>
      <c:layout>
        <c:manualLayout>
          <c:xMode val="edge"/>
          <c:yMode val="edge"/>
          <c:x val="0.12651000000000001"/>
          <c:y val="3.7010000000000001E-2"/>
        </c:manualLayout>
      </c:layout>
      <c:overlay val="0"/>
    </c:title>
    <c:autoTitleDeleted val="0"/>
    <c:view3D>
      <c:rotX val="30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layout/>
              </c:ext>
            </c:extLst>
          </c:dLbls>
          <c:cat>
            <c:strRef>
              <c:f>Лист1!$A$2:$A$5</c:f>
              <c:strCache>
                <c:ptCount val="4"/>
                <c:pt idx="1">
                  <c:v>1 квартал 2024 года</c:v>
                </c:pt>
                <c:pt idx="2">
                  <c:v>4 квартал 2023 года</c:v>
                </c:pt>
                <c:pt idx="3">
                  <c:v>1 квартал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583</c:v>
                </c:pt>
                <c:pt idx="2">
                  <c:v>647</c:v>
                </c:pt>
                <c:pt idx="3">
                  <c:v>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A0-4C89-8D9F-A90E07FBCE7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t"/>
      <c:legendEntry>
        <c:idx val="0"/>
        <c:delete val="1"/>
      </c:legendEntry>
      <c:layout>
        <c:manualLayout>
          <c:xMode val="edge"/>
          <c:yMode val="edge"/>
          <c:x val="0.12854927458766163"/>
          <c:y val="0.3118222692409415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обращений поступивших в адрес Минтранса НСО в первом квартале 2024 года, в сравнении  с четвертым  кварталом  2023 года и первым кварталом 2023 года</a:t>
            </a:r>
          </a:p>
        </c:rich>
      </c:tx>
      <c:layout>
        <c:manualLayout>
          <c:xMode val="edge"/>
          <c:yMode val="edge"/>
          <c:x val="0.13428999999999999"/>
          <c:y val="1.725000000000000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158</c:v>
                </c:pt>
                <c:pt idx="2">
                  <c:v>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99-4B56-958A-3D3A569B18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152</c:v>
                </c:pt>
                <c:pt idx="2">
                  <c:v>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99-4B56-958A-3D3A569B18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63</c:v>
                </c:pt>
                <c:pt idx="2">
                  <c:v>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99-4B56-958A-3D3A569B18B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A699-4B56-958A-3D3A569B18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3373184"/>
        <c:axId val="73374720"/>
        <c:axId val="0"/>
      </c:bar3DChart>
      <c:catAx>
        <c:axId val="73373184"/>
        <c:scaling>
          <c:orientation val="minMax"/>
        </c:scaling>
        <c:delete val="0"/>
        <c:axPos val="l"/>
        <c:majorGridlines/>
        <c:minorGridlines/>
        <c:numFmt formatCode="General" sourceLinked="0"/>
        <c:majorTickMark val="none"/>
        <c:minorTickMark val="none"/>
        <c:tickLblPos val="nextTo"/>
        <c:crossAx val="73374720"/>
        <c:crosses val="autoZero"/>
        <c:auto val="1"/>
        <c:lblAlgn val="ctr"/>
        <c:lblOffset val="100"/>
        <c:noMultiLvlLbl val="0"/>
      </c:catAx>
      <c:valAx>
        <c:axId val="73374720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one"/>
        <c:crossAx val="73373184"/>
        <c:crosses val="autoZero"/>
        <c:crossBetween val="between"/>
      </c:valAx>
      <c:spPr>
        <a:prstGeom prst="rect">
          <a:avLst/>
        </a:prstGeom>
        <a:noFill/>
        <a:ln w="25400">
          <a:noFill/>
        </a:ln>
      </c:spPr>
    </c:plotArea>
    <c:legend>
      <c:legendPos val="t"/>
      <c:legendEntry>
        <c:idx val="3"/>
        <c:delete val="1"/>
      </c:legendEntry>
      <c:overlay val="0"/>
      <c:txPr>
        <a:bodyPr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 поступивших обращений в первом квартале 2024 года в сравнении с четвертым кварталом 2023 года и с</a:t>
            </a:r>
          </a:p>
          <a:p>
            <a:pPr>
              <a:defRPr/>
            </a:pPr>
            <a:r>
              <a:rPr lang="ru-RU" sz="1200"/>
              <a:t>пеервым кварталом 2023 года</a:t>
            </a: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124"/>
          <c:y val="2.2030000000000001E-2"/>
        </c:manualLayout>
      </c:layout>
      <c:overlay val="0"/>
      <c:spPr>
        <a:prstGeom prst="rect">
          <a:avLst/>
        </a:prstGeom>
        <a:noFill/>
        <a:ln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prstGeom prst="rect">
          <a:avLst/>
        </a:prstGeom>
        <a:noFill/>
        <a:ln>
          <a:noFill/>
        </a:ln>
      </c:spPr>
    </c:floor>
    <c:sideWall>
      <c:thickness val="0"/>
      <c:spPr>
        <a:prstGeom prst="rect">
          <a:avLst/>
        </a:prstGeom>
        <a:noFill/>
        <a:ln>
          <a:noFill/>
        </a:ln>
      </c:spPr>
    </c:sideWall>
    <c:backWall>
      <c:thickness val="0"/>
      <c:spPr>
        <a:prstGeom prst="rect">
          <a:avLst/>
        </a:prstGeom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.25616"/>
          <c:y val="0.1958"/>
          <c:w val="0.72994000000000003"/>
          <c:h val="0.53822000000000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412</c:v>
                </c:pt>
                <c:pt idx="1">
                  <c:v>11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77-4A6F-BA1B-00EDA3350E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год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556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77-4A6F-BA1B-00EDA3350E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2023 года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8000"/>
              </a:schemeClr>
            </a:solidFill>
            <a:ln>
              <a:solidFill>
                <a:schemeClr val="accent3">
                  <a:lumMod val="50000"/>
                </a:schemeClr>
              </a:solidFill>
            </a:ln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</c:spPr>
            <c:txPr>
              <a:bodyPr/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77-4A6F-BA1B-00EDA3350E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cone"/>
        <c:axId val="86335891"/>
        <c:axId val="86335892"/>
        <c:axId val="0"/>
      </c:bar3DChart>
      <c:catAx>
        <c:axId val="8633589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lt1">
                    <a:lumMod val="7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86335892"/>
        <c:crosses val="autoZero"/>
        <c:auto val="1"/>
        <c:lblAlgn val="ctr"/>
        <c:lblOffset val="100"/>
        <c:noMultiLvlLbl val="0"/>
      </c:catAx>
      <c:valAx>
        <c:axId val="863358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633589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prstGeom prst="rect">
            <a:avLst/>
          </a:prstGeom>
          <a:solidFill>
            <a:schemeClr val="dk1">
              <a:lumMod val="75000"/>
              <a:lumOff val="25000"/>
            </a:schemeClr>
          </a:solidFill>
          <a:ln w="6350" cap="flat" cmpd="sng" algn="ctr">
            <a:solidFill>
              <a:schemeClr val="dk1">
                <a:tint val="75000"/>
              </a:schemeClr>
            </a:solidFill>
            <a:round/>
          </a:ln>
        </c:spPr>
        <c:txPr>
          <a:bodyPr/>
          <a:lstStyle/>
          <a:p>
            <a:pPr rtl="0">
              <a:defRPr sz="100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prstGeom prst="rect">
          <a:avLst/>
        </a:prstGeom>
        <a:noFill/>
        <a:ln>
          <a:noFill/>
        </a:ln>
      </c:spPr>
    </c:plotArea>
    <c:legend>
      <c:legendPos val="t"/>
      <c:layout>
        <c:manualLayout>
          <c:xMode val="edge"/>
          <c:yMode val="edge"/>
          <c:x val="0.22520430757732318"/>
          <c:y val="0.89884243243243245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837060" cy="3524608"/>
    </a:xfrm>
    <a:prstGeom prst="rect">
      <a:avLst/>
    </a:prstGeom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</c:spPr>
  <c:txPr>
    <a:bodyPr/>
    <a:lstStyle/>
    <a:p>
      <a:pPr>
        <a:defRPr sz="1000"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Виды обращений поступивших в адрес Минтранса НСО в первом квартале 2024 года в сравнении с четвертым кварталом 2023 года и</a:t>
            </a:r>
          </a:p>
          <a:p>
            <a:pPr>
              <a:defRPr sz="1400"/>
            </a:pPr>
            <a:r>
              <a:rPr lang="ru-RU" sz="1400"/>
              <a:t> с четвертомпервым кварталом 2023 года</a:t>
            </a:r>
          </a:p>
        </c:rich>
      </c:tx>
      <c:layout>
        <c:manualLayout>
          <c:xMode val="edge"/>
          <c:yMode val="edge"/>
          <c:x val="0.14036999999999999"/>
          <c:y val="4.379000000000000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345</c:v>
                </c:pt>
                <c:pt idx="1">
                  <c:v>61</c:v>
                </c:pt>
                <c:pt idx="2">
                  <c:v>2</c:v>
                </c:pt>
                <c:pt idx="3">
                  <c:v>14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D-4EE2-AA2A-8FDD13DB77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353</c:v>
                </c:pt>
                <c:pt idx="1">
                  <c:v>122</c:v>
                </c:pt>
                <c:pt idx="2">
                  <c:v>2</c:v>
                </c:pt>
                <c:pt idx="3">
                  <c:v>18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3D-4EE2-AA2A-8FDD13DB77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88</c:v>
                </c:pt>
                <c:pt idx="1">
                  <c:v>242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3D-4EE2-AA2A-8FDD13DB776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квартал 2023 год2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583D-4EE2-AA2A-8FDD13DB77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6313600"/>
        <c:axId val="86335872"/>
        <c:axId val="0"/>
      </c:bar3DChart>
      <c:catAx>
        <c:axId val="8631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6335872"/>
        <c:crosses val="autoZero"/>
        <c:auto val="1"/>
        <c:lblAlgn val="ctr"/>
        <c:lblOffset val="100"/>
        <c:noMultiLvlLbl val="0"/>
      </c:catAx>
      <c:valAx>
        <c:axId val="86335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6313600"/>
        <c:crosses val="autoZero"/>
        <c:crossBetween val="between"/>
      </c:valAx>
    </c:plotArea>
    <c:legend>
      <c:legendPos val="t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2F48-72E9-44E4-96C2-E0FE1600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Информационно-статистический обзор обращений,</vt:lpstr>
      <vt:lpstr>рассмотренных в 1-ом квартале 2024 года, запросов информации  и обращений гражда</vt:lpstr>
    </vt:vector>
  </TitlesOfParts>
  <Company>АГНОиПНО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Грубина Марина Александровна</cp:lastModifiedBy>
  <cp:revision>2</cp:revision>
  <dcterms:created xsi:type="dcterms:W3CDTF">2024-04-05T14:07:00Z</dcterms:created>
  <dcterms:modified xsi:type="dcterms:W3CDTF">2024-04-05T14:07:00Z</dcterms:modified>
</cp:coreProperties>
</file>