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75C" w:rsidRDefault="00D078DA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B7375C" w:rsidRDefault="00D078D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рассмотренных в 2-ом квартале 202</w:t>
      </w:r>
      <w:r w:rsidR="004D1F0D" w:rsidRPr="004D1F0D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обращений и принятых мер</w:t>
      </w:r>
    </w:p>
    <w:p w:rsidR="00B7375C" w:rsidRDefault="00B7375C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7375C" w:rsidRDefault="00D078DA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>
        <w:rPr>
          <w:rFonts w:ascii="Times New Roman" w:hAnsi="Times New Roman" w:cs="Times New Roman"/>
          <w:sz w:val="28"/>
          <w:szCs w:val="28"/>
        </w:rPr>
        <w:t>(далее – министерство)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375C" w:rsidRDefault="00D078DA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Минтранса, а также в форме электронного документа на официальный сайт министерства, либо на электронную почту. Личные обращения граждан рассматриваются на личных приемах, проводимых министром транспорта и дорожного хозяйства Новосибирской области либо лицом его замещающим.</w:t>
      </w:r>
    </w:p>
    <w:p w:rsidR="00B7375C" w:rsidRDefault="00D078DA">
      <w:pPr>
        <w:spacing w:line="276" w:lineRule="auto"/>
        <w:ind w:firstLine="720"/>
        <w:jc w:val="both"/>
        <w:rPr>
          <w:rStyle w:val="af5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период с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01.04.202</w:t>
      </w:r>
      <w:r w:rsidR="004D1F0D" w:rsidRPr="004D1F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30.06.202</w:t>
      </w:r>
      <w:r w:rsidR="004D1F0D" w:rsidRPr="004D1F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министерство транспорта и дорожного хозяйства Новосибирской области поступило </w:t>
      </w:r>
      <w:r w:rsidR="007259F6" w:rsidRPr="007259F6">
        <w:rPr>
          <w:rFonts w:ascii="Times New Roman" w:hAnsi="Times New Roman" w:cs="Times New Roman"/>
          <w:color w:val="000000" w:themeColor="text1"/>
          <w:sz w:val="28"/>
          <w:szCs w:val="28"/>
        </w:rPr>
        <w:t>845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обращения, (в первом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5951B1" w:rsidRPr="005951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951B1" w:rsidRPr="005951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684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и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5951B1" w:rsidRPr="005951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951B1" w:rsidRPr="005951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5048" w:rsidRPr="00D45048">
        <w:rPr>
          <w:rFonts w:ascii="Times New Roman" w:hAnsi="Times New Roman" w:cs="Times New Roman"/>
          <w:color w:val="000000" w:themeColor="text1"/>
          <w:sz w:val="28"/>
          <w:szCs w:val="28"/>
        </w:rPr>
        <w:t>520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данном квартале увеличилось, в сравнении с первым кварталом </w:t>
      </w:r>
      <w:r w:rsidR="00D45048" w:rsidRPr="00D4504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23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D45048" w:rsidRPr="00D4504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161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обращения), со вторым кварталом прошлого года на </w:t>
      </w:r>
      <w:r w:rsidR="00C5764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62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D45048" w:rsidRPr="00D4504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325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обращений).</w:t>
      </w:r>
    </w:p>
    <w:p w:rsidR="00B7375C" w:rsidRDefault="00B7375C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B7375C" w:rsidRDefault="00D078DA">
      <w:pPr>
        <w:spacing w:line="276" w:lineRule="auto"/>
        <w:ind w:firstLine="720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>
            <wp:extent cx="6003232" cy="2401292"/>
            <wp:effectExtent l="0" t="0" r="0" b="0"/>
            <wp:docPr id="1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7375C" w:rsidRDefault="00D078DA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B7375C" w:rsidRDefault="00B7375C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B7375C" w:rsidRDefault="00B7375C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B7375C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B7375C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</w:t>
      </w:r>
      <w:r w:rsidR="00A63067" w:rsidRPr="00A63067">
        <w:rPr>
          <w:rFonts w:ascii="Times New Roman" w:hAnsi="Times New Roman" w:cs="Times New Roman"/>
          <w:color w:val="000000" w:themeColor="text1"/>
          <w:sz w:val="28"/>
          <w:szCs w:val="28"/>
        </w:rPr>
        <w:t>255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из управления по работе с обращениями граждан - общественной приемной Губернатора области, (в первом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A63067" w:rsidRPr="00A630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A63067" w:rsidRPr="00A630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261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-</w:t>
      </w:r>
      <w:r w:rsidR="00A63067" w:rsidRPr="00A630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Статистика показывает, что наибольшее количество поступивших обращений из общественной приемной губернатора составило в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</w:t>
      </w:r>
      <w:r w:rsidR="004D1CE7" w:rsidRPr="004D1CE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в сравнении со вторым кварталом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текущего года на 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обращений), с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вторым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202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41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4D1CE7">
        <w:rPr>
          <w:rFonts w:ascii="Times New Roman" w:hAnsi="Times New Roman" w:cs="Times New Roman"/>
          <w:color w:val="000000" w:themeColor="text1"/>
          <w:sz w:val="28"/>
          <w:szCs w:val="28"/>
        </w:rPr>
        <w:t>106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обращения). 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393C4E">
        <w:rPr>
          <w:rFonts w:ascii="Times New Roman" w:hAnsi="Times New Roman" w:cs="Times New Roman"/>
          <w:color w:val="000000" w:themeColor="text1"/>
          <w:sz w:val="28"/>
          <w:szCs w:val="28"/>
        </w:rPr>
        <w:t>590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 поступило - непосредственно в министерство, в первом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976886">
        <w:rPr>
          <w:rFonts w:ascii="Times New Roman" w:hAnsi="Times New Roman" w:cs="Times New Roman"/>
          <w:color w:val="000000" w:themeColor="text1"/>
          <w:sz w:val="28"/>
          <w:szCs w:val="28"/>
        </w:rPr>
        <w:t>423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обращения, а во втором квартале прошлого года 3</w:t>
      </w:r>
      <w:r w:rsidR="00976886">
        <w:rPr>
          <w:rFonts w:ascii="Times New Roman" w:hAnsi="Times New Roman" w:cs="Times New Roman"/>
          <w:color w:val="000000" w:themeColor="text1"/>
          <w:sz w:val="28"/>
          <w:szCs w:val="28"/>
        </w:rPr>
        <w:t>71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обращение. Количество обращений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увеличилось в сравнении с кварталами</w:t>
      </w:r>
      <w:r w:rsidR="008D64AB">
        <w:rPr>
          <w:rFonts w:ascii="Times New Roman" w:hAnsi="Times New Roman" w:cs="Times New Roman"/>
          <w:color w:val="000000" w:themeColor="text1"/>
          <w:sz w:val="28"/>
          <w:szCs w:val="28"/>
        </w:rPr>
        <w:t>, с первым кварталом на 39% (на 167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обращений), со вторым кварталом прошлого года на </w:t>
      </w:r>
      <w:r w:rsidR="008D64AB">
        <w:rPr>
          <w:rFonts w:ascii="Times New Roman" w:hAnsi="Times New Roman" w:cs="Times New Roman"/>
          <w:color w:val="000000" w:themeColor="text1"/>
          <w:sz w:val="28"/>
          <w:szCs w:val="28"/>
        </w:rPr>
        <w:t>59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8D64AB">
        <w:rPr>
          <w:rFonts w:ascii="Times New Roman" w:hAnsi="Times New Roman" w:cs="Times New Roman"/>
          <w:color w:val="000000" w:themeColor="text1"/>
          <w:sz w:val="28"/>
          <w:szCs w:val="28"/>
        </w:rPr>
        <w:t>219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обращения).</w:t>
      </w: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86499" cy="3133724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Из числа поступивших обращений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C415FF">
        <w:rPr>
          <w:rFonts w:ascii="Times New Roman" w:hAnsi="Times New Roman" w:cs="Times New Roman"/>
          <w:color w:val="000000" w:themeColor="text1"/>
          <w:sz w:val="28"/>
          <w:szCs w:val="28"/>
        </w:rPr>
        <w:t>840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обращений, в</w:t>
      </w:r>
      <w:r w:rsidR="00C415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AF5F72" w:rsidRPr="00AF5F72">
        <w:rPr>
          <w:rFonts w:ascii="Times New Roman" w:hAnsi="Times New Roman" w:cs="Times New Roman"/>
          <w:color w:val="000000" w:themeColor="text1"/>
          <w:sz w:val="28"/>
          <w:szCs w:val="28"/>
        </w:rPr>
        <w:t>674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письменное обращение,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F854D4" w:rsidRPr="00F854D4">
        <w:rPr>
          <w:rFonts w:ascii="Times New Roman" w:hAnsi="Times New Roman" w:cs="Times New Roman"/>
          <w:color w:val="000000" w:themeColor="text1"/>
          <w:sz w:val="28"/>
          <w:szCs w:val="28"/>
        </w:rPr>
        <w:t>495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обращений. Количество письменных обращений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увеличилось в сравнении с кварталами, с первым кварталом текущего года на </w:t>
      </w:r>
      <w:r w:rsidR="00F854D4" w:rsidRPr="00F854D4">
        <w:rPr>
          <w:rFonts w:ascii="Times New Roman" w:hAnsi="Times New Roman" w:cs="Times New Roman"/>
          <w:color w:val="000000" w:themeColor="text1"/>
          <w:sz w:val="28"/>
          <w:szCs w:val="28"/>
        </w:rPr>
        <w:t>24.63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F854D4" w:rsidRPr="00F854D4">
        <w:rPr>
          <w:rFonts w:ascii="Times New Roman" w:hAnsi="Times New Roman" w:cs="Times New Roman"/>
          <w:color w:val="000000" w:themeColor="text1"/>
          <w:sz w:val="28"/>
          <w:szCs w:val="28"/>
        </w:rPr>
        <w:t>166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обращения), со вторым кварталом прошлого года на </w:t>
      </w:r>
      <w:r w:rsidR="00F854D4" w:rsidRPr="00F854D4">
        <w:rPr>
          <w:rFonts w:ascii="Times New Roman" w:hAnsi="Times New Roman" w:cs="Times New Roman"/>
          <w:color w:val="000000" w:themeColor="text1"/>
          <w:sz w:val="28"/>
          <w:szCs w:val="28"/>
        </w:rPr>
        <w:t>76.84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F854D4" w:rsidRPr="00F854D4">
        <w:rPr>
          <w:rFonts w:ascii="Times New Roman" w:hAnsi="Times New Roman" w:cs="Times New Roman"/>
          <w:color w:val="000000" w:themeColor="text1"/>
          <w:sz w:val="28"/>
          <w:szCs w:val="28"/>
        </w:rPr>
        <w:t>365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обращений).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Во втором квартале 202</w:t>
      </w:r>
      <w:r w:rsidR="004D1F0D" w:rsidRPr="004D1F0D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было зарегистрировано </w:t>
      </w:r>
      <w:r w:rsidR="00555954" w:rsidRPr="0055595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742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заявлений. В первом квартале </w:t>
      </w:r>
      <w:r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202</w:t>
      </w:r>
      <w:r w:rsidR="004D1F0D" w:rsidRPr="004D1F0D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 w:rsidR="00555954" w:rsidRPr="0055595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584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заявлений, во втором квартале 202</w:t>
      </w:r>
      <w:r w:rsidR="004D1F0D" w:rsidRPr="004D1F0D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3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555954" w:rsidRPr="0055595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-</w:t>
      </w:r>
      <w:r w:rsidR="00555954" w:rsidRPr="0055595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188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заявления. Количество заявлений в данном квартале </w:t>
      </w:r>
      <w:r w:rsidR="0055595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увеличелось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сравнении с квар</w:t>
      </w:r>
      <w:r w:rsidR="00AE024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талами, с первым кварталом на 27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AE024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158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заявлений), с прошлым годом на </w:t>
      </w:r>
      <w:r w:rsidR="00AE024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294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DD62A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(на </w:t>
      </w:r>
      <w:r w:rsidR="00AE024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554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заявлений).</w:t>
      </w:r>
    </w:p>
    <w:p w:rsidR="00B7375C" w:rsidRDefault="00D078DA">
      <w:pPr>
        <w:tabs>
          <w:tab w:val="left" w:pos="8760"/>
        </w:tabs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Во втором квартале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 первом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7 устных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прошлом году поступило 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обращений. 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Во втором квартале текущего года на личн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ом приеме у министра был принят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гражданин, в первом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личный прием к министру обратился 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гражданин, во втором квартале прошлого года было принято 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F00D07">
        <w:rPr>
          <w:rFonts w:ascii="Times New Roman" w:hAnsi="Times New Roman" w:cs="Times New Roman"/>
          <w:color w:val="000000" w:themeColor="text1"/>
          <w:sz w:val="28"/>
          <w:szCs w:val="28"/>
        </w:rPr>
        <w:t>ина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37065" cy="3524613"/>
            <wp:effectExtent l="0" t="0" r="0" b="0"/>
            <wp:docPr id="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7375C" w:rsidRDefault="00D078DA">
      <w:pPr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 электронной почте проступ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ло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21 обращение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>в первом квартале поступило 68 обращений,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 квартале прошлого го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>да поступило 22 обращения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7375C" w:rsidRDefault="00D078DA">
      <w:pPr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F30560">
        <w:rPr>
          <w:rFonts w:ascii="Times New Roman" w:hAnsi="Times New Roman" w:cs="Times New Roman"/>
          <w:color w:val="000000" w:themeColor="text1"/>
          <w:sz w:val="28"/>
          <w:szCs w:val="28"/>
        </w:rPr>
        <w:t>49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жалоб, в первом квартале 202</w:t>
      </w:r>
      <w:bookmarkStart w:id="0" w:name="_GoBack"/>
      <w:bookmarkEnd w:id="0"/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E77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30560">
        <w:rPr>
          <w:rFonts w:ascii="Times New Roman" w:hAnsi="Times New Roman" w:cs="Times New Roman"/>
          <w:color w:val="000000" w:themeColor="text1"/>
          <w:sz w:val="28"/>
          <w:szCs w:val="28"/>
        </w:rPr>
        <w:t>60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жалобы,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277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жалоб. Данная статистика показывает, что в сравнении с предыдущими квартал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ами количество жалоб уменьшилось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с первым кварталом текущего года на 1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жалоб), со вторым прошлого года на 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82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737954">
        <w:rPr>
          <w:rFonts w:ascii="Times New Roman" w:hAnsi="Times New Roman" w:cs="Times New Roman"/>
          <w:color w:val="000000" w:themeColor="text1"/>
          <w:sz w:val="28"/>
          <w:szCs w:val="28"/>
        </w:rPr>
        <w:t>228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жалоб).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в первом квартале 202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а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запросов.      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Во втором квартале 202</w:t>
      </w:r>
      <w:r w:rsidR="004D1F0D" w:rsidRPr="004D1F0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 смс-сообщению обращений не поступало, а в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первом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таких обращени</w:t>
      </w:r>
      <w:r w:rsidR="00153093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данных кварталах предложений не поступало.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57999" cy="3924299"/>
            <wp:effectExtent l="0" t="0" r="0" b="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375C" w:rsidRDefault="00B7375C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 в письменной и устной форме даны разъяснения и рекомендации.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12.04.2017 № 60.</w:t>
      </w:r>
    </w:p>
    <w:p w:rsidR="00B7375C" w:rsidRDefault="00D078DA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Заявителям даны письменные ответы в установленные действующим законодательством сроки.</w:t>
      </w:r>
    </w:p>
    <w:p w:rsidR="00B7375C" w:rsidRDefault="00D078DA">
      <w:pPr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Организация работы с обращениями граждан в министерстве транспорта и дорожного хозяйства Новосибирской области позволила во втором квартале 202</w:t>
      </w:r>
      <w:r w:rsidR="004D1F0D" w:rsidRPr="007259F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граждан,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B7375C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022" w:rsidRDefault="00021022">
      <w:r>
        <w:separator/>
      </w:r>
    </w:p>
  </w:endnote>
  <w:endnote w:type="continuationSeparator" w:id="0">
    <w:p w:rsidR="00021022" w:rsidRDefault="00021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022" w:rsidRDefault="00021022">
      <w:r>
        <w:separator/>
      </w:r>
    </w:p>
  </w:footnote>
  <w:footnote w:type="continuationSeparator" w:id="0">
    <w:p w:rsidR="00021022" w:rsidRDefault="000210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17C86"/>
    <w:multiLevelType w:val="hybridMultilevel"/>
    <w:tmpl w:val="F3AA75CA"/>
    <w:lvl w:ilvl="0" w:tplc="2D241C4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9562634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7A47614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9E6642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7908CA0C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CA883EB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5D8D40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1AE740E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B6B84DB0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C8A6DDD"/>
    <w:multiLevelType w:val="hybridMultilevel"/>
    <w:tmpl w:val="EFFEA766"/>
    <w:lvl w:ilvl="0" w:tplc="918404B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A42BF7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1B0FD1E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FB6160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CDD87256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D86EA1D2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CD62F98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63FE85BE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65C6D0E6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75C"/>
    <w:rsid w:val="00021022"/>
    <w:rsid w:val="00137ECF"/>
    <w:rsid w:val="00153093"/>
    <w:rsid w:val="002B161A"/>
    <w:rsid w:val="00375336"/>
    <w:rsid w:val="00393C4E"/>
    <w:rsid w:val="003C1690"/>
    <w:rsid w:val="004D1CE7"/>
    <w:rsid w:val="004D1F0D"/>
    <w:rsid w:val="00555954"/>
    <w:rsid w:val="005951B1"/>
    <w:rsid w:val="007259F6"/>
    <w:rsid w:val="00737954"/>
    <w:rsid w:val="00773C30"/>
    <w:rsid w:val="0081239F"/>
    <w:rsid w:val="008D64AB"/>
    <w:rsid w:val="00976886"/>
    <w:rsid w:val="00A63067"/>
    <w:rsid w:val="00AE0242"/>
    <w:rsid w:val="00AF5F72"/>
    <w:rsid w:val="00B61AC7"/>
    <w:rsid w:val="00B7375C"/>
    <w:rsid w:val="00C415FF"/>
    <w:rsid w:val="00C57648"/>
    <w:rsid w:val="00D078DA"/>
    <w:rsid w:val="00D45048"/>
    <w:rsid w:val="00DD62AB"/>
    <w:rsid w:val="00E7763A"/>
    <w:rsid w:val="00EB175A"/>
    <w:rsid w:val="00F00D07"/>
    <w:rsid w:val="00F30560"/>
    <w:rsid w:val="00F83499"/>
    <w:rsid w:val="00F8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64F94"/>
  <w15:docId w15:val="{06EA537F-D4E1-47DF-A81F-5CADDD3DC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paragraph" w:styleId="afd">
    <w:name w:val="Revision"/>
    <w:hidden/>
    <w:uiPriority w:val="99"/>
    <w:semiHidden/>
    <w:rsid w:val="00737954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1.bin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2.bin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3.bin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4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 в Минтранс НСО во втором квартале 202</a:t>
            </a:r>
            <a:r>
              <a:rPr lang="en-US" sz="1200"/>
              <a:t>4</a:t>
            </a:r>
            <a:r>
              <a:rPr lang="ru-RU" sz="1200"/>
              <a:t> года в сравнении с первым  кварталом  202</a:t>
            </a:r>
            <a:r>
              <a:rPr lang="en-US" sz="1200"/>
              <a:t>4</a:t>
            </a:r>
            <a:r>
              <a:rPr lang="ru-RU" sz="1200"/>
              <a:t> года  </a:t>
            </a:r>
            <a:endParaRPr lang="ru-RU"/>
          </a:p>
          <a:p>
            <a:pPr>
              <a:defRPr/>
            </a:pPr>
            <a:r>
              <a:rPr lang="ru-RU" sz="1200"/>
              <a:t>и вторым кварталом 202</a:t>
            </a:r>
            <a:r>
              <a:rPr lang="en-US" sz="1200"/>
              <a:t>3</a:t>
            </a:r>
            <a:r>
              <a:rPr lang="ru-RU" sz="1200"/>
              <a:t> года  </a:t>
            </a:r>
            <a:endParaRPr lang="ru-RU"/>
          </a:p>
        </c:rich>
      </c:tx>
      <c:layout>
        <c:manualLayout>
          <c:xMode val="edge"/>
          <c:yMode val="edge"/>
          <c:x val="0.12651000000000001"/>
          <c:y val="3.7019999999999997E-2"/>
        </c:manualLayout>
      </c:layout>
      <c:overlay val="0"/>
    </c:title>
    <c:autoTitleDeleted val="0"/>
    <c:view3D>
      <c:rotX val="30"/>
      <c:rotY val="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</c:ext>
            </c:extLst>
          </c:dLbls>
          <c:cat>
            <c:strRef>
              <c:f>Лист1!$A$2:$A$5</c:f>
              <c:strCache>
                <c:ptCount val="4"/>
                <c:pt idx="1">
                  <c:v>2 квартал 2024 года</c:v>
                </c:pt>
                <c:pt idx="2">
                  <c:v>1 квартал 2024 года</c:v>
                </c:pt>
                <c:pt idx="3">
                  <c:v>2 квартал 2023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845</c:v>
                </c:pt>
                <c:pt idx="2">
                  <c:v>684</c:v>
                </c:pt>
                <c:pt idx="3">
                  <c:v>429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06-432C-85D6-4AE595CF7DCC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legend>
      <c:legendPos val="t"/>
      <c:legendEntry>
        <c:idx val="0"/>
        <c:delete val="1"/>
      </c:legendEntry>
      <c:layout>
        <c:manualLayout>
          <c:xMode val="edge"/>
          <c:yMode val="edge"/>
          <c:x val="0.12854927458766163"/>
          <c:y val="0.31182226924094159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обращений поступивших в адрес Минтранса НСО во втором квартале 202</a:t>
            </a:r>
            <a:r>
              <a:rPr lang="en-US" sz="1200"/>
              <a:t>4</a:t>
            </a:r>
            <a:r>
              <a:rPr lang="ru-RU" sz="1200"/>
              <a:t> года, в сравнении  с первым  кварталом  202</a:t>
            </a:r>
            <a:r>
              <a:rPr lang="en-US" sz="1200"/>
              <a:t>4</a:t>
            </a:r>
            <a:r>
              <a:rPr lang="ru-RU" sz="1200"/>
              <a:t> года и вторым кварталом 202</a:t>
            </a:r>
            <a:r>
              <a:rPr lang="en-US" sz="1200"/>
              <a:t>3</a:t>
            </a:r>
            <a:r>
              <a:rPr lang="ru-RU" sz="1200"/>
              <a:t> года</a:t>
            </a:r>
          </a:p>
        </c:rich>
      </c:tx>
      <c:layout>
        <c:manualLayout>
          <c:xMode val="edge"/>
          <c:yMode val="edge"/>
          <c:x val="0.13428999999999999"/>
          <c:y val="1.7250000000000001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2024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255</c:v>
                </c:pt>
                <c:pt idx="2">
                  <c:v>590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901-45F2-8DB7-C7749882AD7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2024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261</c:v>
                </c:pt>
                <c:pt idx="2">
                  <c:v>423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901-45F2-8DB7-C7749882AD7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2023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149</c:v>
                </c:pt>
                <c:pt idx="2">
                  <c:v>371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901-45F2-8DB7-C7749882AD79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0901-45F2-8DB7-C7749882AD7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73373184"/>
        <c:axId val="73374720"/>
        <c:axId val="0"/>
      </c:bar3DChart>
      <c:catAx>
        <c:axId val="73373184"/>
        <c:scaling>
          <c:orientation val="minMax"/>
        </c:scaling>
        <c:delete val="0"/>
        <c:axPos val="l"/>
        <c:majorGridlines/>
        <c:minorGridlines/>
        <c:numFmt formatCode="General" sourceLinked="0"/>
        <c:majorTickMark val="none"/>
        <c:minorTickMark val="none"/>
        <c:tickLblPos val="nextTo"/>
        <c:crossAx val="73374720"/>
        <c:crosses val="autoZero"/>
        <c:auto val="1"/>
        <c:lblAlgn val="ctr"/>
        <c:lblOffset val="100"/>
        <c:noMultiLvlLbl val="0"/>
      </c:catAx>
      <c:valAx>
        <c:axId val="73374720"/>
        <c:scaling>
          <c:orientation val="minMax"/>
        </c:scaling>
        <c:delete val="1"/>
        <c:axPos val="b"/>
        <c:majorGridlines/>
        <c:minorGridlines/>
        <c:numFmt formatCode="General" sourceLinked="1"/>
        <c:majorTickMark val="out"/>
        <c:minorTickMark val="none"/>
        <c:tickLblPos val="none"/>
        <c:crossAx val="73373184"/>
        <c:crosses val="autoZero"/>
        <c:crossBetween val="between"/>
      </c:valAx>
      <c:spPr>
        <a:prstGeom prst="rect">
          <a:avLst/>
        </a:prstGeom>
        <a:noFill/>
        <a:ln w="25400">
          <a:noFill/>
        </a:ln>
      </c:spPr>
    </c:plotArea>
    <c:legend>
      <c:legendPos val="t"/>
      <c:legendEntry>
        <c:idx val="3"/>
        <c:delete val="1"/>
      </c:legendEntry>
      <c:overlay val="0"/>
      <c:txPr>
        <a:bodyPr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 поступивших обращений во втором квартале 2023 года в сравнении с первом кварталом 2023 года и </a:t>
            </a:r>
          </a:p>
          <a:p>
            <a:pPr>
              <a:defRPr/>
            </a:pPr>
            <a:r>
              <a:rPr lang="ru-RU" sz="1200"/>
              <a:t> вторым кварталом 2022 года</a:t>
            </a:r>
            <a:r>
              <a:rPr lang="ru-RU"/>
              <a:t> </a:t>
            </a:r>
          </a:p>
        </c:rich>
      </c:tx>
      <c:layout>
        <c:manualLayout>
          <c:xMode val="edge"/>
          <c:yMode val="edge"/>
          <c:x val="0.124"/>
          <c:y val="2.2030000000000001E-2"/>
        </c:manualLayout>
      </c:layout>
      <c:overlay val="0"/>
      <c:spPr>
        <a:prstGeom prst="rect">
          <a:avLst/>
        </a:prstGeom>
        <a:noFill/>
        <a:ln>
          <a:noFill/>
        </a:ln>
      </c:spPr>
    </c:title>
    <c:autoTitleDeleted val="0"/>
    <c:view3D>
      <c:rotX val="15"/>
      <c:rotY val="20"/>
      <c:depthPercent val="100"/>
      <c:rAngAx val="1"/>
    </c:view3D>
    <c:floor>
      <c:thickness val="0"/>
      <c:spPr>
        <a:prstGeom prst="rect">
          <a:avLst/>
        </a:prstGeom>
        <a:noFill/>
        <a:ln>
          <a:noFill/>
        </a:ln>
      </c:spPr>
    </c:floor>
    <c:sideWall>
      <c:thickness val="0"/>
      <c:spPr>
        <a:prstGeom prst="rect">
          <a:avLst/>
        </a:prstGeom>
        <a:noFill/>
        <a:ln>
          <a:noFill/>
        </a:ln>
      </c:spPr>
    </c:sideWall>
    <c:backWall>
      <c:thickness val="0"/>
      <c:spPr>
        <a:prstGeom prst="rect">
          <a:avLst/>
        </a:prstGeom>
        <a:noFill/>
        <a:ln>
          <a:noFill/>
        </a:ln>
      </c:spPr>
    </c:backWall>
    <c:plotArea>
      <c:layout>
        <c:manualLayout>
          <c:layoutTarget val="inner"/>
          <c:xMode val="edge"/>
          <c:yMode val="edge"/>
          <c:x val="0.25616"/>
          <c:y val="0.1958"/>
          <c:w val="0.72994000000000003"/>
          <c:h val="0.53822000000000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8000"/>
              </a:schemeClr>
            </a:solidFill>
            <a:ln>
              <a:solidFill>
                <a:schemeClr val="accent1">
                  <a:lumMod val="50000"/>
                </a:schemeClr>
              </a:solidFill>
            </a:ln>
          </c:spPr>
          <c:invertIfNegative val="0"/>
          <c:dLbls>
            <c:spPr>
              <a:solidFill>
                <a:schemeClr val="accent1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840</c:v>
                </c:pt>
                <c:pt idx="1">
                  <c:v>3</c:v>
                </c:pt>
                <c:pt idx="2">
                  <c:v>21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E34-4A2D-B282-83FC2AE8D2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8000"/>
              </a:schemeClr>
            </a:solidFill>
            <a:ln>
              <a:solidFill>
                <a:schemeClr val="accent2">
                  <a:lumMod val="50000"/>
                </a:schemeClr>
              </a:solidFill>
            </a:ln>
          </c:spPr>
          <c:invertIfNegative val="0"/>
          <c:dLbls>
            <c:spPr>
              <a:solidFill>
                <a:schemeClr val="accent2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674</c:v>
                </c:pt>
                <c:pt idx="1">
                  <c:v>7</c:v>
                </c:pt>
                <c:pt idx="2">
                  <c:v>68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E34-4A2D-B282-83FC2AE8D2E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2023 года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8000"/>
              </a:schemeClr>
            </a:solidFill>
            <a:ln>
              <a:solidFill>
                <a:schemeClr val="accent3">
                  <a:lumMod val="50000"/>
                </a:schemeClr>
              </a:solidFill>
            </a:ln>
          </c:spPr>
          <c:invertIfNegative val="0"/>
          <c:dLbls>
            <c:spPr>
              <a:solidFill>
                <a:schemeClr val="accent3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495</c:v>
                </c:pt>
                <c:pt idx="1">
                  <c:v>23</c:v>
                </c:pt>
                <c:pt idx="2">
                  <c:v>22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E34-4A2D-B282-83FC2AE8D2E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4"/>
        <c:gapDepth val="53"/>
        <c:shape val="cone"/>
        <c:axId val="86335891"/>
        <c:axId val="86335892"/>
        <c:axId val="0"/>
      </c:bar3DChart>
      <c:catAx>
        <c:axId val="8633589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</c:spPr>
        <c:txPr>
          <a:bodyPr/>
          <a:lstStyle/>
          <a:p>
            <a:pPr>
              <a:defRPr sz="900">
                <a:solidFill>
                  <a:schemeClr val="lt1">
                    <a:lumMod val="7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86335892"/>
        <c:crosses val="autoZero"/>
        <c:auto val="1"/>
        <c:lblAlgn val="ctr"/>
        <c:lblOffset val="100"/>
        <c:noMultiLvlLbl val="0"/>
      </c:catAx>
      <c:valAx>
        <c:axId val="8633589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86335891"/>
        <c:crosses val="autoZero"/>
        <c:crossBetween val="between"/>
      </c:valAx>
      <c:dTable>
        <c:showHorzBorder val="1"/>
        <c:showVertBorder val="1"/>
        <c:showOutline val="1"/>
        <c:showKeys val="1"/>
        <c:spPr>
          <a:prstGeom prst="rect">
            <a:avLst/>
          </a:prstGeom>
          <a:solidFill>
            <a:schemeClr val="dk1">
              <a:lumMod val="75000"/>
              <a:lumOff val="25000"/>
            </a:schemeClr>
          </a:solidFill>
          <a:ln w="6350" cap="flat" cmpd="sng" algn="ctr">
            <a:solidFill>
              <a:schemeClr val="dk1">
                <a:tint val="75000"/>
              </a:schemeClr>
            </a:solidFill>
            <a:round/>
          </a:ln>
        </c:spPr>
        <c:txPr>
          <a:bodyPr/>
          <a:lstStyle/>
          <a:p>
            <a:pPr rtl="0">
              <a:defRPr sz="10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prstGeom prst="rect">
          <a:avLst/>
        </a:prstGeom>
        <a:noFill/>
        <a:ln>
          <a:noFill/>
        </a:ln>
      </c:spPr>
    </c:plotArea>
    <c:plotVisOnly val="1"/>
    <c:dispBlanksAs val="gap"/>
    <c:showDLblsOverMax val="0"/>
  </c:chart>
  <c:spPr>
    <a:xfrm>
      <a:off x="0" y="0"/>
      <a:ext cx="6837064" cy="3524612"/>
    </a:xfrm>
    <a:prstGeom prst="rect">
      <a:avLst/>
    </a:prstGeom>
    <a:solidFill>
      <a:schemeClr val="dk1">
        <a:lumMod val="75000"/>
        <a:lumOff val="25000"/>
      </a:schemeClr>
    </a:solidFill>
    <a:ln w="6350" cap="flat" cmpd="sng" algn="ctr">
      <a:solidFill>
        <a:schemeClr val="dk1">
          <a:tint val="75000"/>
        </a:schemeClr>
      </a:solidFill>
      <a:round/>
    </a:ln>
  </c:spPr>
  <c:txPr>
    <a:bodyPr/>
    <a:lstStyle/>
    <a:p>
      <a:pPr>
        <a:defRPr sz="1000">
          <a:solidFill>
            <a:schemeClr val="lt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Виды обращений поступивших в адрес Минтранса НСО в втором квартале 202</a:t>
            </a:r>
            <a:r>
              <a:rPr lang="en-US" sz="1400"/>
              <a:t>4</a:t>
            </a:r>
            <a:r>
              <a:rPr lang="ru-RU" sz="1400"/>
              <a:t> года в сравнении с первым кварталом 202</a:t>
            </a:r>
            <a:r>
              <a:rPr lang="en-US" sz="1400"/>
              <a:t>4</a:t>
            </a:r>
            <a:r>
              <a:rPr lang="ru-RU" sz="1400"/>
              <a:t> года и со вторым кварталом 202</a:t>
            </a:r>
            <a:r>
              <a:rPr lang="en-US" sz="1400"/>
              <a:t>3</a:t>
            </a:r>
            <a:r>
              <a:rPr lang="ru-RU" sz="1400"/>
              <a:t> года</a:t>
            </a:r>
            <a:endParaRPr lang="ru-RU" sz="1200"/>
          </a:p>
        </c:rich>
      </c:tx>
      <c:layout>
        <c:manualLayout>
          <c:xMode val="edge"/>
          <c:yMode val="edge"/>
          <c:x val="0.14036999999999999"/>
          <c:y val="4.3790000000000003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2024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742</c:v>
                </c:pt>
                <c:pt idx="1">
                  <c:v>49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57E-49B5-8C6A-D92E287C0D5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2024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584</c:v>
                </c:pt>
                <c:pt idx="1">
                  <c:v>60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57E-49B5-8C6A-D92E287C0D5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2023 год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188</c:v>
                </c:pt>
                <c:pt idx="1">
                  <c:v>277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57E-49B5-8C6A-D92E287C0D58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1 квартал 2022 год2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3-057E-49B5-8C6A-D92E287C0D5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6313600"/>
        <c:axId val="86335872"/>
        <c:axId val="0"/>
      </c:bar3DChart>
      <c:catAx>
        <c:axId val="86313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86335872"/>
        <c:crosses val="autoZero"/>
        <c:auto val="1"/>
        <c:lblAlgn val="ctr"/>
        <c:lblOffset val="100"/>
        <c:noMultiLvlLbl val="0"/>
      </c:catAx>
      <c:valAx>
        <c:axId val="8633587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one"/>
        <c:crossAx val="86313600"/>
        <c:crosses val="autoZero"/>
        <c:crossBetween val="between"/>
      </c:valAx>
    </c:plotArea>
    <c:legend>
      <c:legendPos val="t"/>
      <c:legendEntry>
        <c:idx val="3"/>
        <c:delete val="1"/>
      </c:legendEntry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C49EF1-8A7A-4C1B-A0F3-6EDE73751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633</TotalTime>
  <Pages>4</Pages>
  <Words>856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lastModifiedBy>Козиненко Павел Валентинович</cp:lastModifiedBy>
  <cp:revision>59</cp:revision>
  <dcterms:created xsi:type="dcterms:W3CDTF">2022-10-04T03:14:00Z</dcterms:created>
  <dcterms:modified xsi:type="dcterms:W3CDTF">2024-07-30T04:34:00Z</dcterms:modified>
</cp:coreProperties>
</file>