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75C" w:rsidRDefault="00D078DA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Информационно-статистический обзор обращений,</w:t>
      </w:r>
    </w:p>
    <w:p w:rsidR="00B7375C" w:rsidRDefault="00D078D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2F101F" w:rsidRPr="002F101F"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2F101F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 квартале 202</w:t>
      </w:r>
      <w:r w:rsidR="004D1F0D" w:rsidRPr="004D1F0D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запросов информации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 граждан, объединений граждан, в том числе юридических лиц, поступивших в адрес министерства транспорта и дорожного хозяйства Новосибирской области, а также результатов рассмотрения обращений и принятых мер</w:t>
      </w:r>
    </w:p>
    <w:p w:rsidR="00B7375C" w:rsidRDefault="00B7375C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375C" w:rsidRDefault="00D078D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Рассмотрение письменных и личных обращений, устных обращений и запросов граждан, объединений граждан, в том числе юридических лиц, поступивших в адрес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министерства транспорта и дорожного хозяйства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министерства транспорта </w:t>
      </w:r>
      <w:r>
        <w:rPr>
          <w:rFonts w:ascii="Times New Roman" w:hAnsi="Times New Roman" w:cs="Times New Roman"/>
          <w:sz w:val="28"/>
          <w:szCs w:val="28"/>
        </w:rPr>
        <w:t>(далее – министерство)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75C" w:rsidRDefault="00D078D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приемную Минтранса, а также в форме электронного документа на официальный сайт министерства, либо на электронную почту. Личные обращения граждан рассматриваются на личных приемах, проводимых министром транспорта и дорожного хозяйства Новосибирской области либо лицом его замещающим.</w:t>
      </w:r>
    </w:p>
    <w:p w:rsidR="00B7375C" w:rsidRDefault="00D078DA">
      <w:pPr>
        <w:spacing w:line="276" w:lineRule="auto"/>
        <w:ind w:firstLine="720"/>
        <w:jc w:val="both"/>
        <w:rPr>
          <w:rStyle w:val="af5"/>
          <w:rFonts w:ascii="Times New Roman" w:hAnsi="Times New Roman"/>
          <w:b w:val="0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период с </w:t>
      </w:r>
      <w:r w:rsidRPr="002F101F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01.0</w:t>
      </w:r>
      <w:r w:rsidR="002F101F" w:rsidRPr="002F101F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7</w:t>
      </w:r>
      <w:r w:rsidRPr="002F101F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.202</w:t>
      </w:r>
      <w:r w:rsidR="004D1F0D" w:rsidRPr="002F101F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4</w:t>
      </w:r>
      <w:r w:rsidRPr="002F101F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 xml:space="preserve"> по 30.0</w:t>
      </w:r>
      <w:r w:rsidR="002F101F" w:rsidRPr="002F101F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9</w:t>
      </w:r>
      <w:r w:rsidRPr="002F101F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.202</w:t>
      </w:r>
      <w:r w:rsidR="004D1F0D" w:rsidRPr="002F101F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министерство транспорта и дорожного хозяйства Новосибирской области поступило </w:t>
      </w:r>
      <w:r w:rsidR="001576AA" w:rsidRPr="001576A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919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2F101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(</w:t>
      </w:r>
      <w:r w:rsidR="002F101F"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во втором </w:t>
      </w:r>
      <w:r w:rsidRPr="002F1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4D1F0D" w:rsidRPr="004D1F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5951B1" w:rsidRPr="00595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951B1" w:rsidRPr="00595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101F"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845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r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в </w:t>
      </w:r>
      <w:r w:rsidR="002F101F"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третьем</w:t>
      </w:r>
      <w:r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Pr="002F1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4D1F0D" w:rsidRPr="004D1F0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5951B1" w:rsidRPr="00595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951B1" w:rsidRPr="00595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76AA" w:rsidRPr="001576A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786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индивидуальных и коллективных обращений, включая обращения объединений граждан, в том числе юридических лиц. Количество поступивших обращений в данном квартале увеличилось, в сравнении с</w:t>
      </w:r>
      <w:r w:rsidR="0028656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о</w:t>
      </w: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28656A" w:rsidRPr="0028656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>вторым</w:t>
      </w:r>
      <w:r w:rsidRPr="0028656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 xml:space="preserve"> </w:t>
      </w: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кварталом </w:t>
      </w:r>
      <w:r w:rsidR="0028656A" w:rsidRPr="0028656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>9</w:t>
      </w: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% (на </w:t>
      </w:r>
      <w:r w:rsidR="0028656A" w:rsidRPr="0028656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 xml:space="preserve">74 </w:t>
      </w:r>
      <w:r w:rsidR="0028656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обращения), с </w:t>
      </w:r>
      <w:r w:rsidR="0028656A" w:rsidRPr="0028656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 xml:space="preserve">третьим </w:t>
      </w: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кварталом прошлого года на </w:t>
      </w:r>
      <w:r w:rsidR="0028656A" w:rsidRPr="0028656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>17</w:t>
      </w: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% (на </w:t>
      </w:r>
      <w:r w:rsidR="0028656A" w:rsidRPr="0028656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>133</w:t>
      </w:r>
      <w:r w:rsidRPr="0028656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 xml:space="preserve"> </w:t>
      </w: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обращени</w:t>
      </w:r>
      <w:r w:rsidR="0028656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я</w:t>
      </w: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).</w:t>
      </w:r>
    </w:p>
    <w:p w:rsidR="00B7375C" w:rsidRDefault="00B7375C">
      <w:pPr>
        <w:spacing w:line="276" w:lineRule="auto"/>
        <w:jc w:val="both"/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B7375C" w:rsidRDefault="00D078DA">
      <w:pPr>
        <w:spacing w:line="276" w:lineRule="auto"/>
        <w:ind w:firstLine="720"/>
        <w:jc w:val="both"/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943634" w:themeColor="accent2" w:themeShade="BF"/>
          <w:sz w:val="28"/>
          <w:szCs w:val="28"/>
          <w:lang w:eastAsia="ru-RU"/>
        </w:rPr>
        <w:drawing>
          <wp:inline distT="0" distB="0" distL="0" distR="0">
            <wp:extent cx="6003232" cy="2401292"/>
            <wp:effectExtent l="0" t="0" r="17145" b="18415"/>
            <wp:docPr id="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7375C" w:rsidRDefault="00D078DA">
      <w:pPr>
        <w:spacing w:line="276" w:lineRule="auto"/>
        <w:jc w:val="both"/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     </w:t>
      </w:r>
    </w:p>
    <w:p w:rsidR="00B7375C" w:rsidRDefault="00B7375C">
      <w:pPr>
        <w:spacing w:line="276" w:lineRule="auto"/>
        <w:jc w:val="both"/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B7375C" w:rsidRDefault="00B7375C">
      <w:pPr>
        <w:spacing w:line="276" w:lineRule="auto"/>
        <w:jc w:val="both"/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B7375C" w:rsidRDefault="00B7375C">
      <w:pPr>
        <w:spacing w:line="276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  <w:sectPr w:rsidR="00B7375C">
          <w:pgSz w:w="11906" w:h="16838"/>
          <w:pgMar w:top="709" w:right="992" w:bottom="284" w:left="567" w:header="709" w:footer="709" w:gutter="0"/>
          <w:cols w:space="708"/>
          <w:docGrid w:linePitch="360"/>
        </w:sectPr>
      </w:pPr>
    </w:p>
    <w:p w:rsidR="00B7375C" w:rsidRDefault="00B737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B7375C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28656A" w:rsidRDefault="00D078DA">
      <w:pPr>
        <w:spacing w:line="276" w:lineRule="auto"/>
        <w:jc w:val="both"/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</w:t>
      </w:r>
      <w:r w:rsidR="002F101F"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281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2F101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101F"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в третьем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</w:t>
      </w:r>
      <w:r w:rsidR="004D1F0D" w:rsidRPr="004D1F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из управления по работе с обращениями граждан - общественной приемной Губернатора области, (в</w:t>
      </w:r>
      <w:r w:rsidR="002F101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101F"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втором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</w:t>
      </w:r>
      <w:r w:rsidR="004D1F0D" w:rsidRPr="004D1F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A63067" w:rsidRPr="00A63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63067" w:rsidRPr="00A63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101F"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255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F101F"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в третьем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</w:t>
      </w:r>
      <w:r w:rsidR="004D1F0D" w:rsidRPr="004D1F0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-</w:t>
      </w:r>
      <w:r w:rsidR="00A63067" w:rsidRPr="00A63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101F"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310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286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6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Статистика показывает, что количество поступивших обращений из общественной приемной </w:t>
      </w:r>
      <w:r w:rsidR="0028656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28656A">
        <w:rPr>
          <w:rFonts w:ascii="Times New Roman" w:hAnsi="Times New Roman" w:cs="Times New Roman"/>
          <w:color w:val="000000" w:themeColor="text1"/>
          <w:sz w:val="28"/>
          <w:szCs w:val="28"/>
        </w:rPr>
        <w:t>убернатора</w:t>
      </w:r>
      <w:r w:rsidR="0028656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286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8656A" w:rsidRPr="002865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третьем </w:t>
      </w:r>
      <w:r w:rsidR="0028656A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</w:t>
      </w:r>
      <w:r w:rsidR="0028656A" w:rsidRPr="004D1CE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86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28656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28656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увеличилось, в сравнении со </w:t>
      </w:r>
      <w:r w:rsidR="0028656A" w:rsidRPr="0028656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 xml:space="preserve">вторым </w:t>
      </w:r>
      <w:r w:rsidR="0028656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кварталом </w:t>
      </w:r>
      <w:r w:rsidR="0028656A" w:rsidRPr="0028656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>10</w:t>
      </w:r>
      <w:r w:rsidR="0028656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% (на </w:t>
      </w:r>
      <w:r w:rsidR="0028656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>26</w:t>
      </w:r>
      <w:r w:rsidR="0028656A" w:rsidRPr="0028656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 xml:space="preserve"> </w:t>
      </w:r>
      <w:r w:rsidR="0028656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обращени</w:t>
      </w:r>
      <w:r w:rsidR="0028656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й</w:t>
      </w:r>
      <w:r w:rsidR="0028656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), </w:t>
      </w:r>
      <w:r w:rsidR="0028656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а </w:t>
      </w:r>
      <w:r w:rsidR="0028656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в сравнении </w:t>
      </w:r>
      <w:r w:rsidR="0028656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с </w:t>
      </w:r>
      <w:r w:rsidR="0028656A" w:rsidRPr="0028656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>третьим</w:t>
      </w:r>
      <w:r w:rsidR="0028656A" w:rsidRPr="0028656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 xml:space="preserve"> </w:t>
      </w:r>
      <w:r w:rsidR="0028656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кварталом прошлого года</w:t>
      </w:r>
      <w:r w:rsidR="0028656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уменьшилось</w:t>
      </w:r>
      <w:r w:rsidR="0028656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на </w:t>
      </w:r>
      <w:r w:rsidR="0028656A" w:rsidRPr="0028656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>9</w:t>
      </w:r>
      <w:r w:rsidR="0028656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% (на </w:t>
      </w:r>
      <w:r w:rsidR="0028656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>29</w:t>
      </w:r>
      <w:r w:rsidR="0028656A" w:rsidRPr="0028656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 xml:space="preserve"> </w:t>
      </w:r>
      <w:r w:rsidR="0028656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обращени</w:t>
      </w:r>
      <w:r w:rsidR="0028656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й</w:t>
      </w:r>
      <w:r w:rsidR="0028656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).</w:t>
      </w:r>
    </w:p>
    <w:p w:rsidR="00B7375C" w:rsidRDefault="00D078D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722461"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638</w:t>
      </w:r>
      <w:r w:rsidR="00722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72246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 - непосредственно в министерство, </w:t>
      </w:r>
      <w:r w:rsidR="002F1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</w:t>
      </w:r>
      <w:r w:rsidR="002F101F"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втором</w:t>
      </w:r>
      <w:r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</w:t>
      </w:r>
      <w:r w:rsidR="004D1F0D" w:rsidRPr="004D1F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 w:rsidR="002F101F"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590</w:t>
      </w:r>
      <w:r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2F101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="002F101F"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в третьем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прошлого года </w:t>
      </w:r>
      <w:r w:rsidR="00722461"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476</w:t>
      </w:r>
      <w:r w:rsidR="00722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72246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Количество обращений </w:t>
      </w:r>
      <w:r w:rsidR="00286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8656A" w:rsidRPr="002865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третьем</w:t>
      </w:r>
      <w:r w:rsidRPr="002865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</w:t>
      </w:r>
      <w:r w:rsidR="004D1F0D" w:rsidRPr="004D1F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увеличилось в сравнении </w:t>
      </w:r>
      <w:r w:rsidR="00286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r w:rsidR="0028656A" w:rsidRPr="002865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вторым</w:t>
      </w:r>
      <w:r w:rsidR="008D64AB" w:rsidRPr="002865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="008D6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кварталом на </w:t>
      </w:r>
      <w:r w:rsidR="0028656A" w:rsidRPr="002865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8</w:t>
      </w:r>
      <w:r w:rsidR="008D6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(на </w:t>
      </w:r>
      <w:r w:rsidR="0028656A" w:rsidRPr="002865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48 </w:t>
      </w:r>
      <w:r w:rsidR="0028656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обращений),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656A" w:rsidRPr="002865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третьим</w:t>
      </w:r>
      <w:r w:rsidRPr="002865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кварталом прошлого года на </w:t>
      </w:r>
      <w:r w:rsidR="0028656A" w:rsidRPr="002865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(на </w:t>
      </w:r>
      <w:r w:rsidR="0028656A" w:rsidRPr="002865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162</w:t>
      </w:r>
      <w:r w:rsidRPr="002865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обращения).</w:t>
      </w:r>
    </w:p>
    <w:p w:rsidR="00B7375C" w:rsidRDefault="00B7375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75C" w:rsidRDefault="00D078D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286499" cy="3133724"/>
            <wp:effectExtent l="0" t="0" r="635" b="101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375C" w:rsidRDefault="00B7375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75C" w:rsidRDefault="00D078D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Из числа поступивших обращений </w:t>
      </w:r>
      <w:r w:rsidR="002F101F"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в третьем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</w:t>
      </w:r>
      <w:r w:rsidR="004D1F0D" w:rsidRPr="004D1F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 w:rsidR="001C1FF3" w:rsidRPr="001C1FF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910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письменных обращений, в</w:t>
      </w:r>
      <w:r w:rsidR="002F1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2F101F"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втором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</w:t>
      </w:r>
      <w:r w:rsidR="004D1F0D" w:rsidRPr="004D1F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 w:rsidR="002F101F"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840</w:t>
      </w:r>
      <w:r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письменн</w:t>
      </w:r>
      <w:r w:rsidR="002F101F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2F101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F101F"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в третьем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</w:t>
      </w:r>
      <w:r w:rsidR="004D1F0D" w:rsidRPr="004D1F0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 w:rsidR="001C1FF3" w:rsidRPr="001C1FF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773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письменных обращени</w:t>
      </w:r>
      <w:r w:rsidR="001C1FF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Количество письменных обращений </w:t>
      </w:r>
      <w:r w:rsidR="00C95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95CC0" w:rsidRPr="00C95CC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третьем</w:t>
      </w:r>
      <w:r w:rsidRPr="00C95CC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</w:t>
      </w:r>
      <w:r w:rsidR="004D1F0D" w:rsidRPr="004D1F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увеличилось в сравнении с кварталами, </w:t>
      </w:r>
      <w:r w:rsidR="00C95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r w:rsidR="00C95CC0" w:rsidRPr="00C95CC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вторым</w:t>
      </w:r>
      <w:r w:rsidRPr="00C95CC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кварталом текущего года на </w:t>
      </w:r>
      <w:r w:rsidR="00C95CC0" w:rsidRPr="00C95CC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(на </w:t>
      </w:r>
      <w:r w:rsidR="00C95CC0" w:rsidRPr="00C95CC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70</w:t>
      </w:r>
      <w:r w:rsidRPr="00C95CC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C95CC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C95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C95CC0" w:rsidRPr="00C95CC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третьим</w:t>
      </w:r>
      <w:r w:rsidRPr="00C95CC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кварталом прошлого года на </w:t>
      </w:r>
      <w:r w:rsidR="00C95CC0" w:rsidRPr="00C95CC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(на </w:t>
      </w:r>
      <w:r w:rsidR="00C95CC0" w:rsidRPr="00C95CC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137</w:t>
      </w:r>
      <w:r w:rsidRPr="00C95CC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обращений).</w:t>
      </w:r>
    </w:p>
    <w:p w:rsidR="00B7375C" w:rsidRDefault="00D078D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В</w:t>
      </w:r>
      <w:r w:rsidR="002F101F"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третьем </w:t>
      </w: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квартале 202</w:t>
      </w:r>
      <w:r w:rsidR="004D1F0D" w:rsidRPr="004D1F0D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4</w:t>
      </w: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года было зарегистрировано </w:t>
      </w:r>
      <w:r w:rsidR="001C1FF3" w:rsidRPr="001C1FF3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>774</w:t>
      </w:r>
      <w:r w:rsidR="002F101F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заявлени</w:t>
      </w:r>
      <w:r w:rsidR="001C1FF3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я</w:t>
      </w:r>
      <w:r w:rsidR="002F101F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Во </w:t>
      </w:r>
      <w:r w:rsidR="002F101F" w:rsidRPr="002F101F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 xml:space="preserve">втором </w:t>
      </w: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квартале </w:t>
      </w:r>
      <w:r>
        <w:rPr>
          <w:rStyle w:val="af5"/>
          <w:rFonts w:ascii="Times New Roman" w:hAnsi="Times New Roman"/>
          <w:bCs/>
          <w:color w:val="000000" w:themeColor="text1"/>
          <w:sz w:val="28"/>
          <w:szCs w:val="28"/>
        </w:rPr>
        <w:t>202</w:t>
      </w:r>
      <w:r w:rsidR="004D1F0D" w:rsidRPr="004D1F0D">
        <w:rPr>
          <w:rStyle w:val="af5"/>
          <w:rFonts w:ascii="Times New Roman" w:hAnsi="Times New Roman"/>
          <w:bCs/>
          <w:color w:val="000000" w:themeColor="text1"/>
          <w:sz w:val="28"/>
          <w:szCs w:val="28"/>
        </w:rPr>
        <w:t>4</w:t>
      </w:r>
      <w:r>
        <w:rPr>
          <w:rStyle w:val="af5"/>
          <w:rFonts w:ascii="Times New Roman" w:hAnsi="Times New Roman"/>
          <w:bCs/>
          <w:color w:val="000000" w:themeColor="text1"/>
          <w:sz w:val="28"/>
          <w:szCs w:val="28"/>
        </w:rPr>
        <w:t xml:space="preserve"> года</w:t>
      </w: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было </w:t>
      </w:r>
      <w:r w:rsidR="002F101F" w:rsidRPr="002F101F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>742</w:t>
      </w:r>
      <w:r w:rsidRPr="002F101F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 xml:space="preserve"> </w:t>
      </w: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заявлени</w:t>
      </w:r>
      <w:r w:rsidR="002F101F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я</w:t>
      </w: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, </w:t>
      </w:r>
      <w:r w:rsidR="002F101F"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в третьем</w:t>
      </w: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квартале 202</w:t>
      </w:r>
      <w:r w:rsidR="004D1F0D" w:rsidRPr="004D1F0D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3</w:t>
      </w: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года</w:t>
      </w:r>
      <w:r w:rsidR="00555954" w:rsidRPr="0055595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-</w:t>
      </w:r>
      <w:r w:rsidR="00555954" w:rsidRPr="0055595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1C1FF3" w:rsidRPr="001C1FF3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>404</w:t>
      </w: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заявления. Количество заявлений в данном квартале </w:t>
      </w:r>
      <w:r w:rsidR="00C95CC0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увеличилось</w:t>
      </w: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в сравнении с квар</w:t>
      </w:r>
      <w:r w:rsidR="00AE024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талами, </w:t>
      </w:r>
      <w:r w:rsidR="00C95CC0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со </w:t>
      </w:r>
      <w:r w:rsidR="00C95CC0" w:rsidRPr="00C95CC0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 xml:space="preserve">вторым </w:t>
      </w:r>
      <w:r w:rsidR="00AE024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кварталом на </w:t>
      </w:r>
      <w:r w:rsidR="00C95CC0" w:rsidRPr="00C95CC0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>4</w:t>
      </w: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% (на </w:t>
      </w:r>
      <w:r w:rsidR="00C95CC0" w:rsidRPr="00C95CC0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>32</w:t>
      </w:r>
      <w:r w:rsidRPr="00C95CC0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 xml:space="preserve"> </w:t>
      </w: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заявлени</w:t>
      </w:r>
      <w:r w:rsidR="00C95CC0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я</w:t>
      </w: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), с </w:t>
      </w:r>
      <w:r w:rsidR="00C95CC0" w:rsidRPr="00C95CC0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 xml:space="preserve">третьим </w:t>
      </w:r>
      <w:r w:rsidR="00C95CC0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кварталом </w:t>
      </w: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прошл</w:t>
      </w:r>
      <w:r w:rsidR="00C95CC0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ого года</w:t>
      </w: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на </w:t>
      </w:r>
      <w:r w:rsidR="00C95CC0" w:rsidRPr="00C95CC0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>92</w:t>
      </w: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%</w:t>
      </w:r>
      <w:r w:rsidR="00DD62AB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(на </w:t>
      </w:r>
      <w:r w:rsidR="00C95CC0" w:rsidRPr="00C95CC0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>370</w:t>
      </w:r>
      <w:r w:rsidRPr="00C95CC0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 xml:space="preserve"> </w:t>
      </w: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заявлений).</w:t>
      </w:r>
    </w:p>
    <w:p w:rsidR="00B7375C" w:rsidRDefault="00D078DA">
      <w:pPr>
        <w:tabs>
          <w:tab w:val="left" w:pos="876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</w:t>
      </w:r>
      <w:r w:rsidR="002F101F"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третьем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квартале</w:t>
      </w:r>
      <w:r w:rsidR="00F00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 </w:t>
      </w:r>
      <w:r w:rsidR="001C1FF3" w:rsidRPr="001C1FF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устных обращени</w:t>
      </w:r>
      <w:r w:rsidR="00F00D0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F1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 </w:t>
      </w:r>
      <w:r w:rsidR="002F101F"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втором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</w:t>
      </w:r>
      <w:r w:rsidR="004D1F0D" w:rsidRPr="004D1F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 w:rsidR="002F101F"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3</w:t>
      </w:r>
      <w:r w:rsidR="00F00D07"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="00F00D07">
        <w:rPr>
          <w:rFonts w:ascii="Times New Roman" w:hAnsi="Times New Roman" w:cs="Times New Roman"/>
          <w:color w:val="000000" w:themeColor="text1"/>
          <w:sz w:val="28"/>
          <w:szCs w:val="28"/>
        </w:rPr>
        <w:t>устных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2F101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прошлом году поступило </w:t>
      </w:r>
      <w:r w:rsidR="001C1FF3" w:rsidRPr="001C1FF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устных обращений. </w:t>
      </w:r>
    </w:p>
    <w:p w:rsidR="00B7375C" w:rsidRDefault="00D078D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</w:t>
      </w:r>
      <w:r w:rsid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В</w:t>
      </w:r>
      <w:r w:rsidR="002F101F"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третьем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квартале текущего года на личн</w:t>
      </w:r>
      <w:r w:rsidR="00F00D07">
        <w:rPr>
          <w:rFonts w:ascii="Times New Roman" w:hAnsi="Times New Roman" w:cs="Times New Roman"/>
          <w:color w:val="000000" w:themeColor="text1"/>
          <w:sz w:val="28"/>
          <w:szCs w:val="28"/>
        </w:rPr>
        <w:t>ом приеме у министра был</w:t>
      </w:r>
      <w:r w:rsidR="001C1F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00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</w:t>
      </w:r>
      <w:r w:rsidR="001C1F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1FF3" w:rsidRPr="001C1FF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</w:t>
      </w:r>
      <w:r w:rsidR="001C1F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="002F101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101F"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втором</w:t>
      </w:r>
      <w:r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</w:t>
      </w:r>
      <w:r w:rsidR="004D1F0D" w:rsidRPr="004D1F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личный прием к министру обратился </w:t>
      </w:r>
      <w:r w:rsidR="002F101F"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1</w:t>
      </w:r>
      <w:r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гражданин, </w:t>
      </w:r>
      <w:r w:rsidR="002F101F"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в третьем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прошлого года было принято </w:t>
      </w:r>
      <w:r w:rsidR="001C1FF3" w:rsidRPr="001C1FF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="00F00D07">
        <w:rPr>
          <w:rFonts w:ascii="Times New Roman" w:hAnsi="Times New Roman" w:cs="Times New Roman"/>
          <w:color w:val="000000" w:themeColor="text1"/>
          <w:sz w:val="28"/>
          <w:szCs w:val="28"/>
        </w:rPr>
        <w:t>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7375C" w:rsidRDefault="00B7375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75C" w:rsidRDefault="00D078D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837065" cy="3524613"/>
            <wp:effectExtent l="0" t="0" r="1905" b="0"/>
            <wp:docPr id="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7375C" w:rsidRDefault="00D078DA">
      <w:p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В</w:t>
      </w:r>
      <w:r w:rsidR="002F101F"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третьем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</w:t>
      </w:r>
      <w:r w:rsidR="004D1F0D" w:rsidRPr="004D1F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электронной почте проступ</w:t>
      </w:r>
      <w:r w:rsidR="00E7763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</w:t>
      </w:r>
      <w:r w:rsidR="00E77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1FF3" w:rsidRPr="001C1FF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36</w:t>
      </w:r>
      <w:r w:rsidR="00E77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1C1FF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F1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</w:t>
      </w:r>
      <w:r w:rsidR="002F101F"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втором </w:t>
      </w:r>
      <w:r w:rsidR="00E77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поступило </w:t>
      </w:r>
      <w:r w:rsidR="002F101F"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21</w:t>
      </w:r>
      <w:r w:rsidR="00E7763A"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="00E7763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2F101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776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101F"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в третьем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квартале прошлого го</w:t>
      </w:r>
      <w:r w:rsidR="00E77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поступило </w:t>
      </w:r>
      <w:r w:rsidR="001C1FF3" w:rsidRPr="001C1FF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38</w:t>
      </w:r>
      <w:r w:rsidR="00E77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1C1FF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375C" w:rsidRDefault="00D078DA">
      <w:p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   </w:t>
      </w:r>
      <w:r w:rsidR="002F101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101F"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третьем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</w:t>
      </w:r>
      <w:r w:rsidR="004D1F0D" w:rsidRPr="004D1F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 w:rsidR="00FF794E" w:rsidRPr="00FF794E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92</w:t>
      </w:r>
      <w:r w:rsidR="002F1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FF794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2F1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 </w:t>
      </w:r>
      <w:r w:rsidR="002F101F"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втором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</w:t>
      </w:r>
      <w:r w:rsidR="004D1F0D" w:rsidRPr="004D1F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</w:t>
      </w:r>
      <w:r w:rsidR="00E77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77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101F"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49</w:t>
      </w:r>
      <w:r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жалоб, </w:t>
      </w:r>
      <w:r w:rsidR="002F101F"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в третьем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</w:t>
      </w:r>
      <w:r w:rsidR="004D1F0D" w:rsidRPr="004D1F0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 </w:t>
      </w:r>
      <w:r w:rsidR="00FF794E" w:rsidRPr="00FF794E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308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жалоб. Данная статистика показыва</w:t>
      </w:r>
      <w:r w:rsidR="00307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ет, что в сравнении со </w:t>
      </w:r>
      <w:r w:rsidR="003070AD" w:rsidRPr="003070A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вторым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квартал</w:t>
      </w:r>
      <w:r w:rsidR="00307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="00307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текущего года </w:t>
      </w:r>
      <w:r w:rsidR="00737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жалоб </w:t>
      </w:r>
      <w:r w:rsidR="00307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увеличилось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3070AD" w:rsidRPr="003070A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88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(на </w:t>
      </w:r>
      <w:r w:rsidR="003070AD" w:rsidRPr="003070A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43</w:t>
      </w:r>
      <w:r w:rsidRPr="003070A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3070A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307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307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сравнении </w:t>
      </w:r>
      <w:r w:rsidR="00307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3070AD" w:rsidRPr="003070A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третьим</w:t>
      </w:r>
      <w:r w:rsidR="003070AD" w:rsidRPr="003070A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="00307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кварталом </w:t>
      </w:r>
      <w:r w:rsidR="003070AD">
        <w:rPr>
          <w:rFonts w:ascii="Times New Roman" w:hAnsi="Times New Roman" w:cs="Times New Roman"/>
          <w:color w:val="000000" w:themeColor="text1"/>
          <w:sz w:val="28"/>
          <w:szCs w:val="28"/>
        </w:rPr>
        <w:t>прошлого</w:t>
      </w:r>
      <w:r w:rsidR="00307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307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уменьшилось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3070AD" w:rsidRPr="003070A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70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(на </w:t>
      </w:r>
      <w:r w:rsidR="003070AD" w:rsidRPr="003070A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216</w:t>
      </w:r>
      <w:r w:rsidRPr="003070A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жалоб).</w:t>
      </w:r>
    </w:p>
    <w:p w:rsidR="00B7375C" w:rsidRDefault="00D078D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    </w:t>
      </w:r>
      <w:r w:rsidR="002F1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F101F"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третьем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</w:t>
      </w:r>
      <w:r w:rsidR="004D1F0D" w:rsidRPr="004D1F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 w:rsidR="00153093" w:rsidRPr="00FF794E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запрос</w:t>
      </w:r>
      <w:r w:rsidR="0015309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F1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 </w:t>
      </w:r>
      <w:r w:rsidR="002F101F"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втором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</w:t>
      </w:r>
      <w:r w:rsidR="00153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</w:t>
      </w:r>
      <w:r w:rsidR="002F101F"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4</w:t>
      </w:r>
      <w:r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запрос</w:t>
      </w:r>
      <w:r w:rsidR="0015309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="002F1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F101F"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третьем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</w:t>
      </w:r>
      <w:r w:rsidR="004D1F0D" w:rsidRPr="004D1F0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 w:rsidR="00FF794E" w:rsidRPr="00FF794E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запрос</w:t>
      </w:r>
      <w:r w:rsidR="00FF79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</w:t>
      </w:r>
    </w:p>
    <w:p w:rsidR="00B7375C" w:rsidRDefault="00D078D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Во</w:t>
      </w:r>
      <w:r w:rsidR="00FF7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втором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794E"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третьем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</w:t>
      </w:r>
      <w:r w:rsidR="004D1F0D" w:rsidRPr="004D1F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53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FF794E" w:rsidRPr="002F101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третьем </w:t>
      </w:r>
      <w:r w:rsidR="00FF7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</w:t>
      </w:r>
      <w:r w:rsidR="00153093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смс-с</w:t>
      </w:r>
      <w:r w:rsidR="00FF794E">
        <w:rPr>
          <w:rFonts w:ascii="Times New Roman" w:hAnsi="Times New Roman" w:cs="Times New Roman"/>
          <w:color w:val="000000" w:themeColor="text1"/>
          <w:sz w:val="28"/>
          <w:szCs w:val="28"/>
        </w:rPr>
        <w:t>ообщению обращений не поступало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F794E" w:rsidRDefault="00FF794E" w:rsidP="00FF794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D34EA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В третьем квартале 2024 года поступило </w:t>
      </w:r>
      <w:r w:rsidRPr="00D34EA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12</w:t>
      </w:r>
      <w:r w:rsidRPr="00D34EA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Pr="00D34EA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предложений</w:t>
      </w:r>
      <w:r w:rsidRPr="00D34EA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, во втором квартале 2024 поступило </w:t>
      </w:r>
      <w:r w:rsidRPr="00D34EA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7</w:t>
      </w:r>
      <w:r w:rsidRPr="00D34EA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предложений, а в третьем квартале 2023 года поступило </w:t>
      </w:r>
      <w:r w:rsidRPr="00D34EA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5</w:t>
      </w:r>
      <w:r w:rsidRPr="00D34EA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предложений.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B7375C" w:rsidRDefault="00B7375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75C" w:rsidRDefault="00D078D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857999" cy="3924299"/>
            <wp:effectExtent l="0" t="0" r="635" b="635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0" w:name="_GoBack"/>
      <w:bookmarkEnd w:id="0"/>
    </w:p>
    <w:p w:rsidR="00B7375C" w:rsidRDefault="00B7375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75C" w:rsidRDefault="00B7375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75C" w:rsidRDefault="00D078D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направлены ответы заявителям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 в письменной и устной форме даны разъяснения и рекомендации.</w:t>
      </w:r>
    </w:p>
    <w:p w:rsidR="00B7375C" w:rsidRDefault="00D078D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обращения рассмотрены в соответствии с Федеральным законом от 02.05.2006 № 59-ФЗ «О порядке рассмотрения обращений граждан Российской Федерации», Регламентом министерства, Инструкцией по организации работы с обращениями граждан и проведению личного приема граждан в министерстве транспорта и дорожного хозяйства Новосибирской области», утвержденной приказом министерства от 12.04.2017 № 60.</w:t>
      </w:r>
    </w:p>
    <w:p w:rsidR="00B7375C" w:rsidRDefault="00D078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Заявителям даны письменные ответы в установленные действующим законодательством сроки.</w:t>
      </w:r>
    </w:p>
    <w:p w:rsidR="00B7375C" w:rsidRDefault="00D078DA">
      <w:pPr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Организация работы с обращениями граждан в министерстве транспорта и дорожного хозяйства Нов</w:t>
      </w:r>
      <w:r w:rsidR="006D468F">
        <w:rPr>
          <w:rFonts w:ascii="Times New Roman" w:eastAsia="Times New Roman" w:hAnsi="Times New Roman"/>
          <w:sz w:val="28"/>
          <w:szCs w:val="28"/>
          <w:lang w:eastAsia="ru-RU"/>
        </w:rPr>
        <w:t xml:space="preserve">осибирской области позволила в </w:t>
      </w:r>
      <w:r w:rsidR="006D468F" w:rsidRPr="006D468F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третьем</w:t>
      </w:r>
      <w:r w:rsidR="006D46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квартале 202</w:t>
      </w:r>
      <w:r w:rsidR="004D1F0D" w:rsidRPr="007259F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 своевременное, объективное и всестороннее рассмотрение обращений граждан,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B7375C">
      <w:type w:val="continuous"/>
      <w:pgSz w:w="11906" w:h="16838"/>
      <w:pgMar w:top="709" w:right="993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061" w:rsidRDefault="00FF2061">
      <w:r>
        <w:separator/>
      </w:r>
    </w:p>
  </w:endnote>
  <w:endnote w:type="continuationSeparator" w:id="0">
    <w:p w:rsidR="00FF2061" w:rsidRDefault="00FF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061" w:rsidRDefault="00FF2061">
      <w:r>
        <w:separator/>
      </w:r>
    </w:p>
  </w:footnote>
  <w:footnote w:type="continuationSeparator" w:id="0">
    <w:p w:rsidR="00FF2061" w:rsidRDefault="00FF2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17C86"/>
    <w:multiLevelType w:val="hybridMultilevel"/>
    <w:tmpl w:val="F3AA75CA"/>
    <w:lvl w:ilvl="0" w:tplc="2D241C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956263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7A4761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E6642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908CA0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A883EB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5D8D40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1AE740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6B84DB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8A6DDD"/>
    <w:multiLevelType w:val="hybridMultilevel"/>
    <w:tmpl w:val="EFFEA766"/>
    <w:lvl w:ilvl="0" w:tplc="918404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42BF7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1B0FD1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FB6160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DD8725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86EA1D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CD62F9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3FE85B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5C6D0E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5C"/>
    <w:rsid w:val="00021022"/>
    <w:rsid w:val="00137ECF"/>
    <w:rsid w:val="00153093"/>
    <w:rsid w:val="001576AA"/>
    <w:rsid w:val="00161CA8"/>
    <w:rsid w:val="001C1FF3"/>
    <w:rsid w:val="0028656A"/>
    <w:rsid w:val="002B161A"/>
    <w:rsid w:val="002F101F"/>
    <w:rsid w:val="003070AD"/>
    <w:rsid w:val="00375336"/>
    <w:rsid w:val="00393C4E"/>
    <w:rsid w:val="003C1690"/>
    <w:rsid w:val="004D1CE7"/>
    <w:rsid w:val="004D1F0D"/>
    <w:rsid w:val="00555954"/>
    <w:rsid w:val="005951B1"/>
    <w:rsid w:val="006D468F"/>
    <w:rsid w:val="00722461"/>
    <w:rsid w:val="007259F6"/>
    <w:rsid w:val="00737954"/>
    <w:rsid w:val="00773C30"/>
    <w:rsid w:val="0081239F"/>
    <w:rsid w:val="008D64AB"/>
    <w:rsid w:val="00941CD8"/>
    <w:rsid w:val="00976886"/>
    <w:rsid w:val="00A63067"/>
    <w:rsid w:val="00AE0242"/>
    <w:rsid w:val="00AF5F72"/>
    <w:rsid w:val="00B61AC7"/>
    <w:rsid w:val="00B7375C"/>
    <w:rsid w:val="00C415FF"/>
    <w:rsid w:val="00C57648"/>
    <w:rsid w:val="00C95CC0"/>
    <w:rsid w:val="00D078DA"/>
    <w:rsid w:val="00D274FB"/>
    <w:rsid w:val="00D34EAC"/>
    <w:rsid w:val="00D45048"/>
    <w:rsid w:val="00DD62AB"/>
    <w:rsid w:val="00E7763A"/>
    <w:rsid w:val="00EB175A"/>
    <w:rsid w:val="00F00D07"/>
    <w:rsid w:val="00F30560"/>
    <w:rsid w:val="00F83499"/>
    <w:rsid w:val="00F854D4"/>
    <w:rsid w:val="00F90115"/>
    <w:rsid w:val="00FF2061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351"/>
  <w15:docId w15:val="{06EA537F-D4E1-47DF-A81F-5CADDD3D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styleId="af5">
    <w:name w:val="Strong"/>
    <w:basedOn w:val="a0"/>
    <w:uiPriority w:val="22"/>
    <w:qFormat/>
    <w:rPr>
      <w:rFonts w:cs="Times New Roman"/>
      <w:b/>
    </w:r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Calibri" w:hAnsi="Calibri" w:cs="Calibri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Calibri" w:hAnsi="Calibri" w:cs="Calibri"/>
    </w:rPr>
  </w:style>
  <w:style w:type="paragraph" w:styleId="afd">
    <w:name w:val="Revision"/>
    <w:hidden/>
    <w:uiPriority w:val="99"/>
    <w:semiHidden/>
    <w:rsid w:val="00737954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 поступивших обращений в Минтранс НСО в</a:t>
            </a:r>
            <a:r>
              <a:rPr lang="ru-RU" sz="1200" baseline="0"/>
              <a:t> третьем </a:t>
            </a:r>
            <a:r>
              <a:rPr lang="ru-RU" sz="1200"/>
              <a:t>квартале 202</a:t>
            </a:r>
            <a:r>
              <a:rPr lang="en-US" sz="1200"/>
              <a:t>4</a:t>
            </a:r>
            <a:r>
              <a:rPr lang="ru-RU" sz="1200"/>
              <a:t> года в сравнении со</a:t>
            </a:r>
            <a:r>
              <a:rPr lang="ru-RU" sz="1200" baseline="0"/>
              <a:t> вторым </a:t>
            </a:r>
            <a:r>
              <a:rPr lang="ru-RU" sz="1200"/>
              <a:t>кварталом  202</a:t>
            </a:r>
            <a:r>
              <a:rPr lang="en-US" sz="1200"/>
              <a:t>4</a:t>
            </a:r>
            <a:r>
              <a:rPr lang="ru-RU" sz="1200"/>
              <a:t> года  </a:t>
            </a:r>
            <a:endParaRPr lang="ru-RU"/>
          </a:p>
          <a:p>
            <a:pPr>
              <a:defRPr/>
            </a:pPr>
            <a:r>
              <a:rPr lang="ru-RU" sz="1200"/>
              <a:t>и третьим кварталом 202</a:t>
            </a:r>
            <a:r>
              <a:rPr lang="en-US" sz="1200"/>
              <a:t>3</a:t>
            </a:r>
            <a:r>
              <a:rPr lang="ru-RU" sz="1200"/>
              <a:t> года  </a:t>
            </a:r>
            <a:endParaRPr lang="ru-RU"/>
          </a:p>
        </c:rich>
      </c:tx>
      <c:layout>
        <c:manualLayout>
          <c:xMode val="edge"/>
          <c:yMode val="edge"/>
          <c:x val="0.12651000000000001"/>
          <c:y val="3.7019999999999997E-2"/>
        </c:manualLayout>
      </c:layout>
      <c:overlay val="0"/>
    </c:title>
    <c:autoTitleDeleted val="0"/>
    <c:view3D>
      <c:rotX val="30"/>
      <c:rotY val="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поступивших обращений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Ref>
              <c:f>Лист1!$A$2:$A$5</c:f>
              <c:strCache>
                <c:ptCount val="4"/>
                <c:pt idx="1">
                  <c:v>3 квартал 2024 года</c:v>
                </c:pt>
                <c:pt idx="2">
                  <c:v>2 квартал 2024 года</c:v>
                </c:pt>
                <c:pt idx="3">
                  <c:v>3 квартал 2023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919</c:v>
                </c:pt>
                <c:pt idx="2">
                  <c:v>845</c:v>
                </c:pt>
                <c:pt idx="3">
                  <c:v>786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06-432C-85D6-4AE595CF7DC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t"/>
      <c:legendEntry>
        <c:idx val="0"/>
        <c:delete val="1"/>
      </c:legendEntry>
      <c:layout>
        <c:manualLayout>
          <c:xMode val="edge"/>
          <c:yMode val="edge"/>
          <c:x val="0.12854927458766163"/>
          <c:y val="0.3118222692409415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 обращений поступивших в адрес Минтранса НСО в третьем квартале 202</a:t>
            </a:r>
            <a:r>
              <a:rPr lang="en-US" sz="1200"/>
              <a:t>4</a:t>
            </a:r>
            <a:r>
              <a:rPr lang="ru-RU" sz="1200"/>
              <a:t> года, в сравнении со</a:t>
            </a:r>
            <a:r>
              <a:rPr lang="ru-RU" sz="1200" baseline="0"/>
              <a:t> вторым </a:t>
            </a:r>
            <a:r>
              <a:rPr lang="ru-RU" sz="1200"/>
              <a:t>кварталом  202</a:t>
            </a:r>
            <a:r>
              <a:rPr lang="en-US" sz="1200"/>
              <a:t>4</a:t>
            </a:r>
            <a:r>
              <a:rPr lang="ru-RU" sz="1200"/>
              <a:t> года и третьим кварталом 202</a:t>
            </a:r>
            <a:r>
              <a:rPr lang="en-US" sz="1200"/>
              <a:t>3</a:t>
            </a:r>
            <a:r>
              <a:rPr lang="ru-RU" sz="1200"/>
              <a:t> года</a:t>
            </a:r>
          </a:p>
        </c:rich>
      </c:tx>
      <c:layout>
        <c:manualLayout>
          <c:xMode val="edge"/>
          <c:yMode val="edge"/>
          <c:x val="0.13428999999999999"/>
          <c:y val="1.725000000000000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2024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281</c:v>
                </c:pt>
                <c:pt idx="2">
                  <c:v>638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01-45F2-8DB7-C7749882AD7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2024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255</c:v>
                </c:pt>
                <c:pt idx="2">
                  <c:v>590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01-45F2-8DB7-C7749882AD7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 2023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310</c:v>
                </c:pt>
                <c:pt idx="2">
                  <c:v>476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01-45F2-8DB7-C7749882AD7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0901-45F2-8DB7-C7749882AD7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73373184"/>
        <c:axId val="73374720"/>
        <c:axId val="0"/>
      </c:bar3DChart>
      <c:catAx>
        <c:axId val="73373184"/>
        <c:scaling>
          <c:orientation val="minMax"/>
        </c:scaling>
        <c:delete val="0"/>
        <c:axPos val="l"/>
        <c:majorGridlines/>
        <c:minorGridlines/>
        <c:numFmt formatCode="General" sourceLinked="0"/>
        <c:majorTickMark val="none"/>
        <c:minorTickMark val="none"/>
        <c:tickLblPos val="nextTo"/>
        <c:crossAx val="73374720"/>
        <c:crosses val="autoZero"/>
        <c:auto val="1"/>
        <c:lblAlgn val="ctr"/>
        <c:lblOffset val="100"/>
        <c:noMultiLvlLbl val="0"/>
      </c:catAx>
      <c:valAx>
        <c:axId val="73374720"/>
        <c:scaling>
          <c:orientation val="minMax"/>
        </c:scaling>
        <c:delete val="1"/>
        <c:axPos val="b"/>
        <c:majorGridlines/>
        <c:minorGridlines/>
        <c:numFmt formatCode="General" sourceLinked="1"/>
        <c:majorTickMark val="out"/>
        <c:minorTickMark val="none"/>
        <c:tickLblPos val="none"/>
        <c:crossAx val="73373184"/>
        <c:crosses val="autoZero"/>
        <c:crossBetween val="between"/>
      </c:valAx>
      <c:spPr>
        <a:prstGeom prst="rect">
          <a:avLst/>
        </a:prstGeom>
        <a:noFill/>
        <a:ln w="25400">
          <a:noFill/>
        </a:ln>
      </c:spPr>
    </c:plotArea>
    <c:legend>
      <c:legendPos val="t"/>
      <c:legendEntry>
        <c:idx val="3"/>
        <c:delete val="1"/>
      </c:legendEntry>
      <c:overlay val="0"/>
      <c:txPr>
        <a:bodyPr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Виды поступивших обращений в третьем квартале 2024 года в сравнении со</a:t>
            </a:r>
            <a:r>
              <a:rPr lang="ru-RU" sz="1200" baseline="0"/>
              <a:t> вторым </a:t>
            </a:r>
            <a:r>
              <a:rPr lang="ru-RU" sz="1200"/>
              <a:t>кварталом 2024 года и </a:t>
            </a:r>
          </a:p>
          <a:p>
            <a:pPr>
              <a:defRPr/>
            </a:pPr>
            <a:r>
              <a:rPr lang="ru-RU" sz="1200"/>
              <a:t> третьим кварталом 2023 года</a:t>
            </a: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124"/>
          <c:y val="2.2030000000000001E-2"/>
        </c:manualLayout>
      </c:layout>
      <c:overlay val="0"/>
      <c:spPr>
        <a:prstGeom prst="rect">
          <a:avLst/>
        </a:prstGeom>
        <a:noFill/>
        <a:ln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prstGeom prst="rect">
          <a:avLst/>
        </a:prstGeom>
        <a:noFill/>
        <a:ln>
          <a:noFill/>
        </a:ln>
      </c:spPr>
    </c:floor>
    <c:sideWall>
      <c:thickness val="0"/>
      <c:spPr>
        <a:prstGeom prst="rect">
          <a:avLst/>
        </a:prstGeom>
        <a:noFill/>
        <a:ln>
          <a:noFill/>
        </a:ln>
      </c:spPr>
    </c:sideWall>
    <c:backWall>
      <c:thickness val="0"/>
      <c:spPr>
        <a:prstGeom prst="rect">
          <a:avLst/>
        </a:prstGeom>
        <a:noFill/>
        <a:ln>
          <a:noFill/>
        </a:ln>
      </c:spPr>
    </c:backWall>
    <c:plotArea>
      <c:layout>
        <c:manualLayout>
          <c:layoutTarget val="inner"/>
          <c:xMode val="edge"/>
          <c:yMode val="edge"/>
          <c:x val="0.25616"/>
          <c:y val="0.1958"/>
          <c:w val="0.72994000000000003"/>
          <c:h val="0.538220000000000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2024 год</c:v>
                </c:pt>
              </c:strCache>
            </c:strRef>
          </c:tx>
          <c:spPr>
            <a:prstGeom prst="rect">
              <a:avLst/>
            </a:prstGeom>
            <a:solidFill>
              <a:schemeClr val="accent1">
                <a:alpha val="88000"/>
              </a:schemeClr>
            </a:solidFill>
            <a:ln>
              <a:solidFill>
                <a:schemeClr val="accent1">
                  <a:lumMod val="50000"/>
                </a:schemeClr>
              </a:solidFill>
            </a:ln>
          </c:spPr>
          <c:invertIfNegative val="0"/>
          <c:dLbls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</c:spPr>
            <c:txPr>
              <a:bodyPr/>
              <a:lstStyle/>
              <a:p>
                <a:pPr>
                  <a:defRPr sz="900" b="1" i="0" u="none" strike="noStrike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910</c:v>
                </c:pt>
                <c:pt idx="1">
                  <c:v>7</c:v>
                </c:pt>
                <c:pt idx="2">
                  <c:v>36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34-4A2D-B282-83FC2AE8D2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2024 год</c:v>
                </c:pt>
              </c:strCache>
            </c:strRef>
          </c:tx>
          <c:spPr>
            <a:prstGeom prst="rect">
              <a:avLst/>
            </a:prstGeom>
            <a:solidFill>
              <a:schemeClr val="accent2">
                <a:alpha val="88000"/>
              </a:schemeClr>
            </a:solidFill>
            <a:ln>
              <a:solidFill>
                <a:schemeClr val="accent2">
                  <a:lumMod val="50000"/>
                </a:schemeClr>
              </a:solidFill>
            </a:ln>
          </c:spPr>
          <c:invertIfNegative val="0"/>
          <c:dLbls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</c:spPr>
            <c:txPr>
              <a:bodyPr/>
              <a:lstStyle/>
              <a:p>
                <a:pPr>
                  <a:defRPr sz="900" b="1" i="0" u="none" strike="noStrike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840</c:v>
                </c:pt>
                <c:pt idx="1">
                  <c:v>3</c:v>
                </c:pt>
                <c:pt idx="2">
                  <c:v>21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34-4A2D-B282-83FC2AE8D2E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 2023 года</c:v>
                </c:pt>
              </c:strCache>
            </c:strRef>
          </c:tx>
          <c:spPr>
            <a:prstGeom prst="rect">
              <a:avLst/>
            </a:prstGeom>
            <a:solidFill>
              <a:schemeClr val="accent3">
                <a:alpha val="88000"/>
              </a:schemeClr>
            </a:solidFill>
            <a:ln>
              <a:solidFill>
                <a:schemeClr val="accent3">
                  <a:lumMod val="50000"/>
                </a:schemeClr>
              </a:solidFill>
            </a:ln>
          </c:spPr>
          <c:invertIfNegative val="0"/>
          <c:dLbls>
            <c:spPr>
              <a:solidFill>
                <a:schemeClr val="accent3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</c:spPr>
            <c:txPr>
              <a:bodyPr/>
              <a:lstStyle/>
              <a:p>
                <a:pPr>
                  <a:defRPr sz="900" b="1" i="0" u="none" strike="noStrike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773</c:v>
                </c:pt>
                <c:pt idx="1">
                  <c:v>10</c:v>
                </c:pt>
                <c:pt idx="2">
                  <c:v>38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34-4A2D-B282-83FC2AE8D2E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cone"/>
        <c:axId val="86335891"/>
        <c:axId val="86335892"/>
        <c:axId val="0"/>
      </c:bar3DChart>
      <c:catAx>
        <c:axId val="86335891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prstGeom prst="rect">
            <a:avLst/>
          </a:prstGeom>
          <a:noFill/>
          <a:ln>
            <a:noFill/>
          </a:ln>
        </c:spPr>
        <c:txPr>
          <a:bodyPr/>
          <a:lstStyle/>
          <a:p>
            <a:pPr>
              <a:defRPr sz="900">
                <a:solidFill>
                  <a:schemeClr val="lt1">
                    <a:lumMod val="7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86335892"/>
        <c:crosses val="autoZero"/>
        <c:auto val="1"/>
        <c:lblAlgn val="ctr"/>
        <c:lblOffset val="100"/>
        <c:noMultiLvlLbl val="0"/>
      </c:catAx>
      <c:valAx>
        <c:axId val="863358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6335891"/>
        <c:crosses val="autoZero"/>
        <c:crossBetween val="between"/>
      </c:valAx>
      <c:dTable>
        <c:showHorzBorder val="1"/>
        <c:showVertBorder val="1"/>
        <c:showOutline val="1"/>
        <c:showKeys val="1"/>
        <c:spPr>
          <a:prstGeom prst="rect">
            <a:avLst/>
          </a:prstGeom>
          <a:solidFill>
            <a:schemeClr val="dk1">
              <a:lumMod val="75000"/>
              <a:lumOff val="25000"/>
            </a:schemeClr>
          </a:solidFill>
          <a:ln w="6350" cap="flat" cmpd="sng" algn="ctr">
            <a:solidFill>
              <a:schemeClr val="dk1">
                <a:tint val="75000"/>
              </a:schemeClr>
            </a:solidFill>
            <a:round/>
          </a:ln>
        </c:spPr>
        <c:txPr>
          <a:bodyPr/>
          <a:lstStyle/>
          <a:p>
            <a:pPr rtl="0">
              <a:defRPr sz="10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prstGeom prst="rect">
          <a:avLst/>
        </a:prstGeom>
        <a:noFill/>
        <a:ln>
          <a:noFill/>
        </a:ln>
      </c:spPr>
    </c:plotArea>
    <c:plotVisOnly val="1"/>
    <c:dispBlanksAs val="gap"/>
    <c:showDLblsOverMax val="0"/>
  </c:chart>
  <c:spPr>
    <a:xfrm>
      <a:off x="0" y="0"/>
      <a:ext cx="6837064" cy="3524612"/>
    </a:xfrm>
    <a:prstGeom prst="rect">
      <a:avLst/>
    </a:prstGeom>
    <a:solidFill>
      <a:schemeClr val="dk1">
        <a:lumMod val="75000"/>
        <a:lumOff val="25000"/>
      </a:schemeClr>
    </a:solidFill>
    <a:ln w="6350" cap="flat" cmpd="sng" algn="ctr">
      <a:solidFill>
        <a:schemeClr val="dk1">
          <a:tint val="75000"/>
        </a:schemeClr>
      </a:solidFill>
      <a:round/>
    </a:ln>
  </c:spPr>
  <c:txPr>
    <a:bodyPr/>
    <a:lstStyle/>
    <a:p>
      <a:pPr>
        <a:defRPr sz="1000">
          <a:solidFill>
            <a:schemeClr val="lt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Виды обращений поступивших в адрес Минтранса НСО в третьем квартале 202</a:t>
            </a:r>
            <a:r>
              <a:rPr lang="en-US" sz="1400"/>
              <a:t>4</a:t>
            </a:r>
            <a:r>
              <a:rPr lang="ru-RU" sz="1400"/>
              <a:t> года в сравнении со вторым кварталом 202</a:t>
            </a:r>
            <a:r>
              <a:rPr lang="en-US" sz="1400"/>
              <a:t>4</a:t>
            </a:r>
            <a:r>
              <a:rPr lang="ru-RU" sz="1400"/>
              <a:t> года и с</a:t>
            </a:r>
            <a:r>
              <a:rPr lang="ru-RU" sz="1400" baseline="0"/>
              <a:t> третьим </a:t>
            </a:r>
            <a:r>
              <a:rPr lang="ru-RU" sz="1400"/>
              <a:t>кварталом 202</a:t>
            </a:r>
            <a:r>
              <a:rPr lang="en-US" sz="1400"/>
              <a:t>3</a:t>
            </a:r>
            <a:r>
              <a:rPr lang="ru-RU" sz="1400"/>
              <a:t> года</a:t>
            </a:r>
            <a:endParaRPr lang="ru-RU" sz="1200"/>
          </a:p>
        </c:rich>
      </c:tx>
      <c:layout>
        <c:manualLayout>
          <c:xMode val="edge"/>
          <c:yMode val="edge"/>
          <c:x val="0.14036999999999999"/>
          <c:y val="4.3790000000000003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2024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>смс-сообщения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774</c:v>
                </c:pt>
                <c:pt idx="1">
                  <c:v>92</c:v>
                </c:pt>
                <c:pt idx="2">
                  <c:v>12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7E-49B5-8C6A-D92E287C0D5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2024 год2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>смс-сообщения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742</c:v>
                </c:pt>
                <c:pt idx="1">
                  <c:v>49</c:v>
                </c:pt>
                <c:pt idx="2">
                  <c:v>7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7E-49B5-8C6A-D92E287C0D5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 2023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>смс-сообщения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404</c:v>
                </c:pt>
                <c:pt idx="1">
                  <c:v>308</c:v>
                </c:pt>
                <c:pt idx="2">
                  <c:v>5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7E-49B5-8C6A-D92E287C0D5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6313600"/>
        <c:axId val="86335872"/>
        <c:axId val="0"/>
      </c:bar3DChart>
      <c:catAx>
        <c:axId val="86313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6335872"/>
        <c:crosses val="autoZero"/>
        <c:auto val="1"/>
        <c:lblAlgn val="ctr"/>
        <c:lblOffset val="100"/>
        <c:noMultiLvlLbl val="0"/>
      </c:catAx>
      <c:valAx>
        <c:axId val="863358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8631360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3DD0B-9A96-447B-9AC3-26DDA596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Ольга Евгеньевна</dc:creator>
  <cp:keywords/>
  <dc:description/>
  <cp:lastModifiedBy>Минтранс</cp:lastModifiedBy>
  <cp:revision>10</cp:revision>
  <dcterms:created xsi:type="dcterms:W3CDTF">2024-10-03T12:40:00Z</dcterms:created>
  <dcterms:modified xsi:type="dcterms:W3CDTF">2024-10-03T13:55:00Z</dcterms:modified>
</cp:coreProperties>
</file>