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1DF5" w:rsidRDefault="00D56370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Информационно-статистический обзор обращений,</w:t>
      </w:r>
    </w:p>
    <w:p w:rsidR="007B1DF5" w:rsidRDefault="00D56370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в </w:t>
      </w:r>
      <w:r w:rsidR="008F7B78">
        <w:rPr>
          <w:rFonts w:ascii="Times New Roman" w:eastAsia="Times New Roman" w:hAnsi="Times New Roman"/>
          <w:b/>
          <w:sz w:val="28"/>
          <w:szCs w:val="28"/>
          <w:lang w:eastAsia="ru-RU"/>
        </w:rPr>
        <w:t>мае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202</w:t>
      </w:r>
      <w:r w:rsidR="008F7B78">
        <w:rPr>
          <w:rFonts w:ascii="Times New Roman" w:eastAsia="Times New Roman" w:hAnsi="Times New Roman"/>
          <w:b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запросов информации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br/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и обращений граждан, объединений граждан, в том числе юридических лиц, поступивших в адрес министерства транспорта и дорожного хозяйства Новосибирской области, а также результатов рассмотрения </w:t>
      </w:r>
    </w:p>
    <w:p w:rsidR="007B1DF5" w:rsidRDefault="00D56370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обращений и принятых мер</w:t>
      </w:r>
    </w:p>
    <w:p w:rsidR="007B1DF5" w:rsidRDefault="007B1DF5">
      <w:pPr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B1DF5" w:rsidRDefault="00D56370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ичных обращений, устных обращений и запросов граждан, объединений граждан, в том числе юридических лиц, поступивших в адрес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министерства транспорта и дорожного хозяйства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действующим федеральным и областным законодательством, нормативными правовыми актами Новосибирской области и министерства транспорта </w:t>
      </w:r>
      <w:r>
        <w:rPr>
          <w:rFonts w:ascii="Times New Roman" w:hAnsi="Times New Roman" w:cs="Times New Roman"/>
          <w:sz w:val="28"/>
          <w:szCs w:val="28"/>
        </w:rPr>
        <w:t>(далее – министерство)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7B1DF5" w:rsidRDefault="00D5637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Граждане, представители организаций и общественных объединений имеют возможность обратиться в ми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нистерство путем направления письменных обращений почтовой связью либо предоставлением их в приемную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министерства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 также в форме электронного документа на официальный сайт. Личные обращения граждан рассматриваются на личных приемах, проводимых министром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 Новосибирской области либо лицом его замещающим.</w:t>
      </w:r>
    </w:p>
    <w:p w:rsidR="007B1DF5" w:rsidRDefault="00D56370">
      <w:pPr>
        <w:spacing w:line="276" w:lineRule="auto"/>
        <w:ind w:firstLine="709"/>
        <w:jc w:val="both"/>
        <w:rPr>
          <w:rStyle w:val="af5"/>
          <w:rFonts w:ascii="Times New Roman" w:hAnsi="Times New Roman"/>
          <w:b w:val="0"/>
          <w:bCs/>
          <w:color w:val="4F81BD" w:themeColor="accen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</w:t>
      </w:r>
      <w:r>
        <w:rPr>
          <w:rFonts w:ascii="Times New Roman" w:hAnsi="Times New Roman" w:cs="Times New Roman"/>
          <w:b/>
          <w:sz w:val="28"/>
          <w:szCs w:val="28"/>
        </w:rPr>
        <w:t>01.</w:t>
      </w:r>
      <w:r w:rsidR="008F7B78">
        <w:rPr>
          <w:rFonts w:ascii="Times New Roman" w:hAnsi="Times New Roman" w:cs="Times New Roman"/>
          <w:b/>
          <w:sz w:val="28"/>
          <w:szCs w:val="28"/>
        </w:rPr>
        <w:t>05.2024</w:t>
      </w:r>
      <w:r>
        <w:rPr>
          <w:rFonts w:ascii="Times New Roman" w:hAnsi="Times New Roman" w:cs="Times New Roman"/>
          <w:b/>
          <w:sz w:val="28"/>
          <w:szCs w:val="28"/>
        </w:rPr>
        <w:t xml:space="preserve"> по 31.</w:t>
      </w:r>
      <w:r w:rsidR="008F7B78">
        <w:rPr>
          <w:rFonts w:ascii="Times New Roman" w:hAnsi="Times New Roman" w:cs="Times New Roman"/>
          <w:b/>
          <w:sz w:val="28"/>
          <w:szCs w:val="28"/>
        </w:rPr>
        <w:t>05.2024</w:t>
      </w:r>
      <w:r>
        <w:rPr>
          <w:rFonts w:ascii="Times New Roman" w:hAnsi="Times New Roman" w:cs="Times New Roman"/>
          <w:sz w:val="28"/>
          <w:szCs w:val="28"/>
        </w:rPr>
        <w:t xml:space="preserve"> 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министерство </w:t>
      </w:r>
      <w:r>
        <w:rPr>
          <w:rFonts w:ascii="Times New Roman" w:hAnsi="Times New Roman" w:cs="Times New Roman"/>
          <w:sz w:val="28"/>
          <w:szCs w:val="28"/>
        </w:rPr>
        <w:t xml:space="preserve">поступило </w:t>
      </w:r>
      <w:r w:rsidR="008F7B78" w:rsidRPr="00495DF1">
        <w:rPr>
          <w:rFonts w:ascii="Times New Roman" w:hAnsi="Times New Roman" w:cs="Times New Roman"/>
          <w:b/>
          <w:sz w:val="28"/>
          <w:szCs w:val="28"/>
        </w:rPr>
        <w:t>194</w:t>
      </w:r>
      <w:r>
        <w:rPr>
          <w:rFonts w:ascii="Times New Roman" w:hAnsi="Times New Roman" w:cs="Times New Roman"/>
          <w:sz w:val="28"/>
          <w:szCs w:val="28"/>
        </w:rPr>
        <w:t xml:space="preserve"> (в </w:t>
      </w:r>
      <w:r w:rsidR="00D365A3">
        <w:rPr>
          <w:rFonts w:ascii="Times New Roman" w:hAnsi="Times New Roman" w:cs="Times New Roman"/>
          <w:sz w:val="28"/>
          <w:szCs w:val="28"/>
        </w:rPr>
        <w:t>апреле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D365A3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года - </w:t>
      </w:r>
      <w:r w:rsidR="00D365A3" w:rsidRPr="00495DF1">
        <w:rPr>
          <w:rFonts w:ascii="Times New Roman" w:hAnsi="Times New Roman" w:cs="Times New Roman"/>
          <w:b/>
          <w:sz w:val="28"/>
          <w:szCs w:val="28"/>
        </w:rPr>
        <w:t>213</w:t>
      </w:r>
      <w:r w:rsidR="00D365A3">
        <w:rPr>
          <w:rFonts w:ascii="Times New Roman" w:hAnsi="Times New Roman" w:cs="Times New Roman"/>
          <w:sz w:val="28"/>
          <w:szCs w:val="28"/>
        </w:rPr>
        <w:t>, в мае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495DF1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495DF1" w:rsidRPr="00495DF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137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индивидуальных и коллективных обращений, вк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лючая обращения объединений граждан, в том числе юридических лиц. Количество поступивших обращений в </w:t>
      </w:r>
      <w:r w:rsidR="00495DF1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мае 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месяце текущего года уменьшилось в сравнении с </w:t>
      </w:r>
      <w:r w:rsidR="00495DF1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апрелем 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на </w:t>
      </w:r>
      <w:r w:rsidR="00495DF1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9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% (на </w:t>
      </w:r>
      <w:r w:rsidR="00495DF1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19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обращения), с </w:t>
      </w:r>
      <w:r w:rsidR="00495DF1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апреля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прошлого года увеличилось на </w:t>
      </w:r>
      <w:r w:rsidR="00495DF1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30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% (на </w:t>
      </w:r>
      <w:r w:rsidR="00495DF1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57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й). </w:t>
      </w:r>
    </w:p>
    <w:p w:rsidR="007B1DF5" w:rsidRDefault="00D56370">
      <w:pPr>
        <w:spacing w:line="276" w:lineRule="auto"/>
        <w:jc w:val="both"/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white"/>
        </w:rPr>
      </w:pP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 Из общего количества обращений в </w:t>
      </w:r>
      <w:r w:rsidR="00F22A3C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мае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202</w:t>
      </w:r>
      <w:r w:rsidR="00F22A3C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4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года зарегистрировано </w:t>
      </w:r>
      <w:r w:rsidR="00F22A3C" w:rsidRPr="002823B7">
        <w:rPr>
          <w:rStyle w:val="af5"/>
          <w:rFonts w:ascii="Times New Roman" w:hAnsi="Times New Roman"/>
          <w:bCs/>
          <w:color w:val="000000" w:themeColor="text1"/>
          <w:sz w:val="28"/>
          <w:szCs w:val="28"/>
        </w:rPr>
        <w:t>191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письменных обращения, в </w:t>
      </w:r>
      <w:r w:rsidR="002823B7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апреле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202</w:t>
      </w:r>
      <w:r w:rsidR="002823B7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4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года</w:t>
      </w:r>
      <w:r w:rsidR="002823B7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- </w:t>
      </w:r>
      <w:r w:rsidR="002823B7">
        <w:rPr>
          <w:rStyle w:val="af5"/>
          <w:rFonts w:ascii="Times New Roman" w:hAnsi="Times New Roman"/>
          <w:bCs/>
          <w:color w:val="000000" w:themeColor="text1"/>
          <w:sz w:val="28"/>
          <w:szCs w:val="28"/>
        </w:rPr>
        <w:t>212</w:t>
      </w:r>
      <w:r w:rsidRPr="002823B7">
        <w:rPr>
          <w:rStyle w:val="af5"/>
          <w:rFonts w:ascii="Times New Roman" w:hAnsi="Times New Roman"/>
          <w:bCs/>
          <w:color w:val="000000" w:themeColor="text1"/>
          <w:sz w:val="28"/>
          <w:szCs w:val="28"/>
        </w:rPr>
        <w:t xml:space="preserve"> 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письменных обращения, а в </w:t>
      </w:r>
      <w:r w:rsidR="002823B7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мае 2023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года - </w:t>
      </w:r>
      <w:r w:rsidR="002823B7">
        <w:rPr>
          <w:rStyle w:val="af5"/>
          <w:rFonts w:ascii="Times New Roman" w:hAnsi="Times New Roman"/>
          <w:bCs/>
          <w:color w:val="000000" w:themeColor="text1"/>
          <w:sz w:val="28"/>
          <w:szCs w:val="28"/>
        </w:rPr>
        <w:t>124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.  Количество письменных обращений в </w:t>
      </w:r>
      <w:r w:rsidR="002823B7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мае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месяце уменьшилось по сравнен</w:t>
      </w:r>
      <w:r w:rsidR="002823B7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ию с апрелем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на </w:t>
      </w:r>
      <w:r w:rsidR="002823B7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10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% (на </w:t>
      </w:r>
      <w:r w:rsidR="002823B7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21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обращения), с </w:t>
      </w:r>
      <w:r w:rsidR="002823B7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маем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прошлого года - увеличилось на </w:t>
      </w:r>
      <w:r w:rsidR="002823B7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60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% (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white"/>
        </w:rPr>
        <w:t>на 113 письменных обращений).</w:t>
      </w:r>
    </w:p>
    <w:p w:rsidR="007B1DF5" w:rsidRDefault="00D56370">
      <w:pPr>
        <w:spacing w:line="276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Тематика вопросов, содержащихся в письменных обращениях граждан, поступивших в управление дорожного комплекса министерства транспорта и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дорожного хозяйства Новосибирской области:</w:t>
      </w:r>
    </w:p>
    <w:p w:rsidR="007B1DF5" w:rsidRDefault="00D56370">
      <w:pPr>
        <w:spacing w:line="276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- </w:t>
      </w:r>
      <w:r>
        <w:rPr>
          <w:rFonts w:ascii="Times New Roman" w:hAnsi="Times New Roman" w:cs="Times New Roman"/>
          <w:color w:val="000000" w:themeColor="text1"/>
          <w:sz w:val="27"/>
          <w:szCs w:val="27"/>
        </w:rPr>
        <w:t>Комплексное благоустройство;</w:t>
      </w:r>
    </w:p>
    <w:p w:rsidR="007B1DF5" w:rsidRDefault="00D56370">
      <w:pPr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-</w:t>
      </w:r>
      <w:r>
        <w:rPr>
          <w:rFonts w:ascii="Times New Roman" w:hAnsi="Times New Roman" w:cs="Times New Roman"/>
          <w:color w:val="000000" w:themeColor="text1"/>
          <w:sz w:val="27"/>
          <w:szCs w:val="27"/>
        </w:rPr>
        <w:t>Транспортное обслуживание населения, пассажирские перевозки;</w:t>
      </w:r>
    </w:p>
    <w:p w:rsidR="007B1DF5" w:rsidRDefault="00D56370">
      <w:pPr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>
        <w:rPr>
          <w:rFonts w:ascii="Times New Roman" w:hAnsi="Times New Roman" w:cs="Times New Roman"/>
          <w:color w:val="000000" w:themeColor="text1"/>
          <w:sz w:val="27"/>
          <w:szCs w:val="27"/>
        </w:rPr>
        <w:t>-Городской, сельский и междугородний пассажирский транспорт;</w:t>
      </w:r>
    </w:p>
    <w:p w:rsidR="007B1DF5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-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Строительство и реконструкция автомобильных дорог;</w:t>
      </w:r>
    </w:p>
    <w:p w:rsidR="007B1DF5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-Плате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жные системы;</w:t>
      </w:r>
    </w:p>
    <w:p w:rsidR="007B1DF5" w:rsidRDefault="00D56370">
      <w:pPr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>
        <w:rPr>
          <w:rFonts w:ascii="Times New Roman" w:hAnsi="Times New Roman" w:cs="Times New Roman"/>
          <w:color w:val="000000" w:themeColor="text1"/>
          <w:sz w:val="27"/>
          <w:szCs w:val="27"/>
        </w:rPr>
        <w:t>- Управление транспортом. Работа руководителей транспортных организаций.</w:t>
      </w:r>
    </w:p>
    <w:p w:rsidR="007B1DF5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-Борьба с аварийностью. Безопасность дорожного движения;</w:t>
      </w:r>
    </w:p>
    <w:p w:rsidR="007B1DF5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-Эксплуатация и сохранность автомобильных дорог;</w:t>
      </w:r>
    </w:p>
    <w:p w:rsidR="007B1DF5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-Содержание транспортной инфраструктуры;</w:t>
      </w:r>
    </w:p>
    <w:p w:rsidR="007B1DF5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-Благоустройство и рем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онт подъездных дорог, в том числе тротуаров;</w:t>
      </w:r>
    </w:p>
    <w:p w:rsidR="007B1DF5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-Тарифы, сборы и льготы на транспортные услуги;</w:t>
      </w:r>
    </w:p>
    <w:p w:rsidR="007B1DF5" w:rsidRDefault="00D56370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-Благодарности, приглашения, поздравления органу местного самоуправления.</w:t>
      </w:r>
    </w:p>
    <w:p w:rsidR="007B1DF5" w:rsidRDefault="00D56370">
      <w:pPr>
        <w:jc w:val="both"/>
        <w:rPr>
          <w:rStyle w:val="af5"/>
          <w:rFonts w:ascii="Times New Roman" w:hAnsi="Times New Roman"/>
          <w:b w:val="0"/>
          <w:color w:val="000000" w:themeColor="text1"/>
          <w:sz w:val="28"/>
          <w:szCs w:val="28"/>
        </w:rPr>
      </w:pP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На все </w:t>
      </w:r>
      <w:r w:rsidR="00192007" w:rsidRPr="00192007">
        <w:rPr>
          <w:rStyle w:val="af5"/>
          <w:rFonts w:ascii="Times New Roman" w:hAnsi="Times New Roman"/>
          <w:bCs/>
          <w:color w:val="000000" w:themeColor="text1"/>
          <w:sz w:val="28"/>
          <w:szCs w:val="28"/>
        </w:rPr>
        <w:t>194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обращений даны разъяснения и направлены ответы заявителям. </w:t>
      </w:r>
    </w:p>
    <w:p w:rsidR="007B1DF5" w:rsidRDefault="007B1DF5">
      <w:pPr>
        <w:spacing w:line="276" w:lineRule="auto"/>
        <w:jc w:val="both"/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7B1DF5" w:rsidRDefault="00D56370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  <w:sectPr w:rsidR="007B1DF5">
          <w:pgSz w:w="11906" w:h="16838"/>
          <w:pgMar w:top="709" w:right="992" w:bottom="284" w:left="567" w:header="709" w:footer="709" w:gutter="0"/>
          <w:cols w:space="708"/>
          <w:docGrid w:linePitch="360"/>
        </w:sectPr>
      </w:pPr>
      <w:r>
        <w:rPr>
          <w:rStyle w:val="af5"/>
          <w:rFonts w:ascii="Times New Roman" w:hAnsi="Times New Roman"/>
          <w:b w:val="0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bCs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6073251" cy="3199763"/>
            <wp:effectExtent l="0" t="0" r="3810" b="1270"/>
            <wp:docPr id="1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7B1DF5" w:rsidRDefault="007B1DF5">
      <w:pPr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  <w:sectPr w:rsidR="007B1DF5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7B1DF5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По состоянию на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31.</w:t>
      </w:r>
      <w:r w:rsidR="00B9148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05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.202</w:t>
      </w:r>
      <w:r w:rsidR="00B9148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4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все поступившие в министерство обращения зарегистрированы. </w:t>
      </w:r>
    </w:p>
    <w:p w:rsidR="007B1DF5" w:rsidRDefault="000D0251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61</w:t>
      </w:r>
      <w:r w:rsidR="00D5637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обращение поступило из управления по работе с обращениями граждан - общественной приемной Губер</w:t>
      </w:r>
      <w:r w:rsidR="00D56370">
        <w:rPr>
          <w:rFonts w:ascii="Times New Roman" w:hAnsi="Times New Roman" w:cs="Times New Roman"/>
          <w:color w:val="000000" w:themeColor="text1"/>
          <w:sz w:val="28"/>
          <w:szCs w:val="28"/>
        </w:rPr>
        <w:t>натора области;</w:t>
      </w:r>
    </w:p>
    <w:p w:rsidR="007B1DF5" w:rsidRDefault="000D0251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194</w:t>
      </w:r>
      <w:r w:rsidR="00D5637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обращения - непосредственно в министерство. </w:t>
      </w:r>
    </w:p>
    <w:p w:rsidR="007B1DF5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В </w:t>
      </w:r>
      <w:r w:rsidR="000D0251">
        <w:rPr>
          <w:rFonts w:ascii="Times New Roman" w:hAnsi="Times New Roman" w:cs="Times New Roman"/>
          <w:color w:val="000000" w:themeColor="text1"/>
          <w:sz w:val="28"/>
          <w:szCs w:val="28"/>
        </w:rPr>
        <w:t>мае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</w:t>
      </w:r>
      <w:r w:rsidR="000D0251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 зарегистрировано 1</w:t>
      </w:r>
      <w:r w:rsidR="007D2FD8">
        <w:rPr>
          <w:rFonts w:ascii="Times New Roman" w:hAnsi="Times New Roman" w:cs="Times New Roman"/>
          <w:color w:val="000000" w:themeColor="text1"/>
          <w:sz w:val="28"/>
          <w:szCs w:val="28"/>
        </w:rPr>
        <w:t>71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заявлений, в </w:t>
      </w:r>
      <w:r w:rsidR="007D2FD8">
        <w:rPr>
          <w:rFonts w:ascii="Times New Roman" w:hAnsi="Times New Roman" w:cs="Times New Roman"/>
          <w:color w:val="000000" w:themeColor="text1"/>
          <w:sz w:val="28"/>
          <w:szCs w:val="28"/>
        </w:rPr>
        <w:t>апреле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</w:t>
      </w:r>
      <w:r w:rsidR="007D2FD8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было </w:t>
      </w:r>
      <w:r w:rsidR="007D2FD8">
        <w:rPr>
          <w:rFonts w:ascii="Times New Roman" w:hAnsi="Times New Roman" w:cs="Times New Roman"/>
          <w:color w:val="000000" w:themeColor="text1"/>
          <w:sz w:val="28"/>
          <w:szCs w:val="28"/>
        </w:rPr>
        <w:t>191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заявлений, в </w:t>
      </w:r>
      <w:r w:rsidR="007D2FD8">
        <w:rPr>
          <w:rFonts w:ascii="Times New Roman" w:hAnsi="Times New Roman" w:cs="Times New Roman"/>
          <w:color w:val="000000" w:themeColor="text1"/>
          <w:sz w:val="28"/>
          <w:szCs w:val="28"/>
        </w:rPr>
        <w:t>мае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</w:t>
      </w:r>
      <w:r w:rsidR="007D2FD8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было </w:t>
      </w:r>
      <w:r w:rsidR="007D2FD8">
        <w:rPr>
          <w:rFonts w:ascii="Times New Roman" w:hAnsi="Times New Roman" w:cs="Times New Roman"/>
          <w:color w:val="000000" w:themeColor="text1"/>
          <w:sz w:val="28"/>
          <w:szCs w:val="28"/>
        </w:rPr>
        <w:t>18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заявления. Количество заявлений в </w:t>
      </w:r>
      <w:r w:rsidR="007D2FD8">
        <w:rPr>
          <w:rFonts w:ascii="Times New Roman" w:hAnsi="Times New Roman" w:cs="Times New Roman"/>
          <w:color w:val="000000" w:themeColor="text1"/>
          <w:sz w:val="28"/>
          <w:szCs w:val="28"/>
        </w:rPr>
        <w:t>мае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сравнении с </w:t>
      </w:r>
      <w:r w:rsidR="007D2FD8">
        <w:rPr>
          <w:rFonts w:ascii="Times New Roman" w:hAnsi="Times New Roman" w:cs="Times New Roman"/>
          <w:color w:val="000000" w:themeColor="text1"/>
          <w:sz w:val="28"/>
          <w:szCs w:val="28"/>
        </w:rPr>
        <w:t>апрелем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7D2FD8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</w:t>
      </w:r>
      <w:r w:rsidR="007D2FD8">
        <w:rPr>
          <w:rFonts w:ascii="Times New Roman" w:hAnsi="Times New Roman" w:cs="Times New Roman"/>
          <w:color w:val="000000" w:themeColor="text1"/>
          <w:sz w:val="28"/>
          <w:szCs w:val="28"/>
        </w:rPr>
        <w:t>меньше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</w:t>
      </w:r>
      <w:r w:rsidR="002C3133">
        <w:rPr>
          <w:rFonts w:ascii="Times New Roman" w:hAnsi="Times New Roman" w:cs="Times New Roman"/>
          <w:color w:val="000000" w:themeColor="text1"/>
          <w:sz w:val="28"/>
          <w:szCs w:val="28"/>
        </w:rPr>
        <w:t>10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% (на </w:t>
      </w:r>
      <w:r w:rsidR="007D2FD8">
        <w:rPr>
          <w:rFonts w:ascii="Times New Roman" w:hAnsi="Times New Roman" w:cs="Times New Roman"/>
          <w:color w:val="000000" w:themeColor="text1"/>
          <w:sz w:val="28"/>
          <w:szCs w:val="28"/>
        </w:rPr>
        <w:t>20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заявления), а с </w:t>
      </w:r>
      <w:r w:rsidR="002C3133">
        <w:rPr>
          <w:rFonts w:ascii="Times New Roman" w:hAnsi="Times New Roman" w:cs="Times New Roman"/>
          <w:color w:val="000000" w:themeColor="text1"/>
          <w:sz w:val="28"/>
          <w:szCs w:val="28"/>
        </w:rPr>
        <w:t>маем 2023 года больше на 850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% (на </w:t>
      </w:r>
      <w:r w:rsidR="002C3133">
        <w:rPr>
          <w:rFonts w:ascii="Times New Roman" w:hAnsi="Times New Roman" w:cs="Times New Roman"/>
          <w:color w:val="000000" w:themeColor="text1"/>
          <w:sz w:val="28"/>
          <w:szCs w:val="28"/>
        </w:rPr>
        <w:t>153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заявлений). </w:t>
      </w:r>
    </w:p>
    <w:p w:rsidR="007B1DF5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7B1DF5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6407621" cy="3199763"/>
            <wp:effectExtent l="4762" t="4762" r="4762" b="4762"/>
            <wp:docPr id="2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B1DF5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</w:p>
    <w:p w:rsidR="007B1DF5" w:rsidRDefault="00D56370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       В </w:t>
      </w:r>
      <w:r w:rsidR="00DD2DA8">
        <w:rPr>
          <w:rFonts w:ascii="Times New Roman" w:hAnsi="Times New Roman" w:cs="Times New Roman"/>
          <w:color w:val="000000" w:themeColor="text1"/>
          <w:sz w:val="28"/>
          <w:szCs w:val="28"/>
        </w:rPr>
        <w:t>мае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</w:t>
      </w:r>
      <w:r w:rsidR="00DD2DA8">
        <w:rPr>
          <w:rFonts w:ascii="Times New Roman" w:hAnsi="Times New Roman" w:cs="Times New Roman"/>
          <w:color w:val="000000" w:themeColor="text1"/>
          <w:sz w:val="28"/>
          <w:szCs w:val="28"/>
        </w:rPr>
        <w:t>апреле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текущего года устных обращений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поступ</w:t>
      </w:r>
      <w:r w:rsidR="00DD2DA8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ло</w:t>
      </w:r>
      <w:r w:rsidR="00DD2D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В </w:t>
      </w:r>
      <w:r w:rsidR="00DD2D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мае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202</w:t>
      </w:r>
      <w:r w:rsidR="00DD2DA8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зарегистрировано 1</w:t>
      </w:r>
      <w:r w:rsidR="00DD2DA8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устное обращение.</w:t>
      </w:r>
    </w:p>
    <w:p w:rsidR="007B1DF5" w:rsidRDefault="00D56370">
      <w:pPr>
        <w:shd w:val="clear" w:color="auto" w:fill="FFFFFF"/>
        <w:rPr>
          <w:rFonts w:ascii="Times New Roman" w:eastAsia="Times New Roman" w:hAnsi="Times New Roman" w:cs="Times New Roman"/>
          <w:color w:val="4F81BD" w:themeColor="accen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По смс-сообщению в </w:t>
      </w:r>
      <w:r w:rsidR="00DD2DA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мае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 </w:t>
      </w:r>
      <w:r w:rsidR="00DD2DA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апреле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текущего года обращений не поступало. В </w:t>
      </w:r>
      <w:r w:rsidR="00DD2DA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мае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202</w:t>
      </w:r>
      <w:r w:rsidR="00DD2DA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3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года </w:t>
      </w:r>
      <w:r w:rsidR="00DD2DA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не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поступало </w:t>
      </w:r>
      <w:r w:rsidR="00DD2DA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б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щ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ние.</w:t>
      </w:r>
    </w:p>
    <w:p w:rsidR="007B1DF5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4F81BD" w:themeColor="accent1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DD41D5">
        <w:rPr>
          <w:rFonts w:ascii="Times New Roman" w:hAnsi="Times New Roman" w:cs="Times New Roman"/>
          <w:color w:val="000000" w:themeColor="text1"/>
          <w:sz w:val="28"/>
          <w:szCs w:val="28"/>
        </w:rPr>
        <w:t>мае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</w:t>
      </w:r>
      <w:r w:rsidR="00F006D3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зарегистрировано </w:t>
      </w:r>
      <w:r w:rsidR="00DD41D5">
        <w:rPr>
          <w:rFonts w:ascii="Times New Roman" w:hAnsi="Times New Roman" w:cs="Times New Roman"/>
          <w:color w:val="000000" w:themeColor="text1"/>
          <w:sz w:val="28"/>
          <w:szCs w:val="28"/>
        </w:rPr>
        <w:t>13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жалоб, (в </w:t>
      </w:r>
      <w:r w:rsidR="00DD41D5">
        <w:rPr>
          <w:rFonts w:ascii="Times New Roman" w:hAnsi="Times New Roman" w:cs="Times New Roman"/>
          <w:color w:val="000000" w:themeColor="text1"/>
          <w:sz w:val="28"/>
          <w:szCs w:val="28"/>
        </w:rPr>
        <w:t>апреле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</w:t>
      </w:r>
      <w:r w:rsidR="00DD41D5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– </w:t>
      </w:r>
      <w:r w:rsidR="00DD41D5">
        <w:rPr>
          <w:rFonts w:ascii="Times New Roman" w:hAnsi="Times New Roman" w:cs="Times New Roman"/>
          <w:color w:val="000000" w:themeColor="text1"/>
          <w:sz w:val="28"/>
          <w:szCs w:val="28"/>
        </w:rPr>
        <w:t>13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жалобы, а в </w:t>
      </w:r>
      <w:r w:rsidR="00DD41D5">
        <w:rPr>
          <w:rFonts w:ascii="Times New Roman" w:hAnsi="Times New Roman" w:cs="Times New Roman"/>
          <w:color w:val="000000" w:themeColor="text1"/>
          <w:sz w:val="28"/>
          <w:szCs w:val="28"/>
        </w:rPr>
        <w:t>мае 2023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– </w:t>
      </w:r>
      <w:r w:rsidR="00DD41D5">
        <w:rPr>
          <w:rFonts w:ascii="Times New Roman" w:hAnsi="Times New Roman" w:cs="Times New Roman"/>
          <w:color w:val="000000" w:themeColor="text1"/>
          <w:sz w:val="28"/>
          <w:szCs w:val="28"/>
        </w:rPr>
        <w:t>101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). Количество ж</w:t>
      </w:r>
      <w:r w:rsidR="00DD41D5">
        <w:rPr>
          <w:rFonts w:ascii="Times New Roman" w:hAnsi="Times New Roman" w:cs="Times New Roman"/>
          <w:color w:val="000000" w:themeColor="text1"/>
          <w:sz w:val="28"/>
          <w:szCs w:val="28"/>
        </w:rPr>
        <w:t>алоб в мае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месяце </w:t>
      </w:r>
      <w:r w:rsidR="00DD41D5">
        <w:rPr>
          <w:rFonts w:ascii="Times New Roman" w:hAnsi="Times New Roman" w:cs="Times New Roman"/>
          <w:color w:val="000000" w:themeColor="text1"/>
          <w:sz w:val="28"/>
          <w:szCs w:val="28"/>
        </w:rPr>
        <w:t>не изменилось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сравнении с </w:t>
      </w:r>
      <w:r w:rsidR="00DD41D5">
        <w:rPr>
          <w:rFonts w:ascii="Times New Roman" w:hAnsi="Times New Roman" w:cs="Times New Roman"/>
          <w:color w:val="000000" w:themeColor="text1"/>
          <w:sz w:val="28"/>
          <w:szCs w:val="28"/>
        </w:rPr>
        <w:t>апрелем текущего года на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с </w:t>
      </w:r>
      <w:r w:rsidR="00DD41D5">
        <w:rPr>
          <w:rFonts w:ascii="Times New Roman" w:hAnsi="Times New Roman" w:cs="Times New Roman"/>
          <w:color w:val="000000" w:themeColor="text1"/>
          <w:sz w:val="28"/>
          <w:szCs w:val="28"/>
        </w:rPr>
        <w:t>маем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прошлого года </w:t>
      </w:r>
      <w:r w:rsidR="00EB69CB">
        <w:rPr>
          <w:rFonts w:ascii="Times New Roman" w:hAnsi="Times New Roman" w:cs="Times New Roman"/>
          <w:color w:val="000000" w:themeColor="text1"/>
          <w:sz w:val="28"/>
          <w:szCs w:val="28"/>
        </w:rPr>
        <w:t>уменьшилось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</w:t>
      </w:r>
      <w:r w:rsidR="00DD41D5">
        <w:rPr>
          <w:rFonts w:ascii="Times New Roman" w:hAnsi="Times New Roman" w:cs="Times New Roman"/>
          <w:color w:val="000000" w:themeColor="text1"/>
          <w:sz w:val="28"/>
          <w:szCs w:val="28"/>
        </w:rPr>
        <w:t>676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% (на </w:t>
      </w:r>
      <w:r w:rsidR="00DD41D5">
        <w:rPr>
          <w:rFonts w:ascii="Times New Roman" w:hAnsi="Times New Roman" w:cs="Times New Roman"/>
          <w:color w:val="000000" w:themeColor="text1"/>
          <w:sz w:val="28"/>
          <w:szCs w:val="28"/>
        </w:rPr>
        <w:t>88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жалоб).</w:t>
      </w:r>
    </w:p>
    <w:p w:rsidR="007B1DF5" w:rsidRDefault="007B1DF5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B1DF5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6216553" cy="3418762"/>
            <wp:effectExtent l="0" t="0" r="13335" b="10795"/>
            <wp:docPr id="3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7B1DF5" w:rsidRDefault="007B1DF5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B1DF5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На личный прием к министру в указанные месяцы текущего года обратилось </w:t>
      </w:r>
      <w:r w:rsidR="00DD41D5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гражданина. В </w:t>
      </w:r>
      <w:r w:rsidR="00DD41D5">
        <w:rPr>
          <w:rFonts w:ascii="Times New Roman" w:hAnsi="Times New Roman" w:cs="Times New Roman"/>
          <w:color w:val="000000" w:themeColor="text1"/>
          <w:sz w:val="28"/>
          <w:szCs w:val="28"/>
        </w:rPr>
        <w:t>мае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прошлого года зарегистрировано </w:t>
      </w:r>
      <w:r w:rsidR="00DD41D5">
        <w:rPr>
          <w:rFonts w:ascii="Times New Roman" w:hAnsi="Times New Roman" w:cs="Times New Roman"/>
          <w:color w:val="000000" w:themeColor="text1"/>
          <w:sz w:val="28"/>
          <w:szCs w:val="28"/>
        </w:rPr>
        <w:t>2 личных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 w:rsidR="00DD41D5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7B1DF5" w:rsidRDefault="00D56370">
      <w:pPr>
        <w:shd w:val="clear" w:color="auto" w:fill="FFFFFF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>
        <w:rPr>
          <w:rFonts w:ascii="Verdana" w:eastAsia="Times New Roman" w:hAnsi="Verdana" w:cs="Times New Roman"/>
          <w:color w:val="FF0000"/>
          <w:sz w:val="28"/>
          <w:szCs w:val="28"/>
          <w:lang w:eastAsia="ru-RU"/>
        </w:rPr>
        <w:t xml:space="preserve">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DD41D5">
        <w:rPr>
          <w:rFonts w:ascii="Times New Roman" w:hAnsi="Times New Roman" w:cs="Times New Roman"/>
          <w:color w:val="000000" w:themeColor="text1"/>
          <w:sz w:val="28"/>
          <w:szCs w:val="28"/>
        </w:rPr>
        <w:t>мае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месяце поступило</w:t>
      </w:r>
      <w:r w:rsidR="00DD41D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предложения, зарегистрировано </w:t>
      </w:r>
      <w:r w:rsidR="00DD41D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запрос</w:t>
      </w:r>
      <w:r w:rsidR="00DD41D5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7B1DF5" w:rsidRDefault="00D56370">
      <w:pPr>
        <w:shd w:val="clear" w:color="auto" w:fill="FFFFFF"/>
        <w:spacing w:line="276" w:lineRule="auto"/>
        <w:jc w:val="both"/>
        <w:rPr>
          <w:rFonts w:ascii="Verdana" w:eastAsia="Times New Roman" w:hAnsi="Verdana" w:cs="Times New Roman"/>
          <w:color w:val="FF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>
        <w:rPr>
          <w:rFonts w:ascii="Verdana" w:eastAsia="Times New Roman" w:hAnsi="Verdana" w:cs="Times New Roman"/>
          <w:color w:val="FF0000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направлены ответы заявителям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электронном виде, в письменной и устной форме даны разъяснения и рекомендации. </w:t>
      </w:r>
    </w:p>
    <w:p w:rsidR="007B1DF5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Все обращения рассмотрены в соответствии с</w:t>
      </w:r>
      <w:bookmarkStart w:id="0" w:name="_GoBack"/>
      <w:bookmarkEnd w:id="0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Федеральным законом от 02.05.2006 № 59-ФЗ «О порядке рассмотрения обращений граждан Российской Федерации», Регламентом мин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истерства, Инструкцией по организации работы с обращениями граждан и проведению личного приема граждан в министерстве транспорта и дорожного хозяйства Новосибирской области», утвержденной приказом министерства от 25.01.2013 №20 </w:t>
      </w:r>
    </w:p>
    <w:p w:rsidR="007B1DF5" w:rsidRDefault="00D56370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Заявителям даны пи</w:t>
      </w:r>
      <w:r>
        <w:rPr>
          <w:rFonts w:ascii="Times New Roman" w:hAnsi="Times New Roman" w:cs="Times New Roman"/>
          <w:sz w:val="28"/>
          <w:szCs w:val="28"/>
        </w:rPr>
        <w:t>сьменные ответы в установленные действующим законодательством сроки.</w:t>
      </w:r>
    </w:p>
    <w:p w:rsidR="007B1DF5" w:rsidRDefault="00D56370">
      <w:pPr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Организация работы с обращениями граждан в министерстве транспорта и дорожного хозяйства Новосибирской области позволила в </w:t>
      </w:r>
      <w:r w:rsidR="00DD41D5">
        <w:rPr>
          <w:rFonts w:ascii="Times New Roman" w:eastAsia="Times New Roman" w:hAnsi="Times New Roman"/>
          <w:sz w:val="28"/>
          <w:szCs w:val="28"/>
          <w:lang w:eastAsia="ru-RU"/>
        </w:rPr>
        <w:t>мае 2024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обеспечить своевременное, объективное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 всестороннее рассмотрение обращений граждан, своевременно принимать меры, направленные на восстановление или защиту нарушенных прав, свобод и законных интересов граждан. </w:t>
      </w:r>
    </w:p>
    <w:sectPr w:rsidR="007B1DF5">
      <w:type w:val="continuous"/>
      <w:pgSz w:w="11906" w:h="16838"/>
      <w:pgMar w:top="709" w:right="993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56370" w:rsidRDefault="00D56370">
      <w:r>
        <w:separator/>
      </w:r>
    </w:p>
  </w:endnote>
  <w:endnote w:type="continuationSeparator" w:id="0">
    <w:p w:rsidR="00D56370" w:rsidRDefault="00D5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auto"/>
    <w:pitch w:val="default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56370" w:rsidRDefault="00D56370">
      <w:r>
        <w:separator/>
      </w:r>
    </w:p>
  </w:footnote>
  <w:footnote w:type="continuationSeparator" w:id="0">
    <w:p w:rsidR="00D56370" w:rsidRDefault="00D563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E07C4C"/>
    <w:multiLevelType w:val="hybridMultilevel"/>
    <w:tmpl w:val="9D985FEA"/>
    <w:lvl w:ilvl="0" w:tplc="FEC8D1D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667031A6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9D48370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EE446A68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89C0321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99F26118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58CE55C2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513A94E2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3746C12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0E408CA"/>
    <w:multiLevelType w:val="hybridMultilevel"/>
    <w:tmpl w:val="C8224AA8"/>
    <w:lvl w:ilvl="0" w:tplc="80CC8AC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921CD636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6B8EC81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D0694AA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AFA4C26A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97AE36C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4C085444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318C7C4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5D109A3C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1DF5"/>
    <w:rsid w:val="000D0251"/>
    <w:rsid w:val="00192007"/>
    <w:rsid w:val="002823B7"/>
    <w:rsid w:val="002C3133"/>
    <w:rsid w:val="00495DF1"/>
    <w:rsid w:val="005352F2"/>
    <w:rsid w:val="005809C0"/>
    <w:rsid w:val="007B1DF5"/>
    <w:rsid w:val="007D2FD8"/>
    <w:rsid w:val="008F7B78"/>
    <w:rsid w:val="00B9148D"/>
    <w:rsid w:val="00D365A3"/>
    <w:rsid w:val="00D56370"/>
    <w:rsid w:val="00DD2DA8"/>
    <w:rsid w:val="00DD41D5"/>
    <w:rsid w:val="00EB69CB"/>
    <w:rsid w:val="00F006D3"/>
    <w:rsid w:val="00F22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CCCCDE"/>
  <w15:docId w15:val="{841AB9FD-2076-4F49-A42D-44C29AEB7E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Calibri" w:hAnsi="Calibri" w:cs="Calibri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b">
    <w:name w:val="Hyperlink"/>
    <w:uiPriority w:val="99"/>
    <w:unhideWhenUsed/>
    <w:rPr>
      <w:color w:val="0000FF" w:themeColor="hyperlink"/>
      <w:u w:val="single"/>
    </w:rPr>
  </w:style>
  <w:style w:type="paragraph" w:styleId="ac">
    <w:name w:val="footnote text"/>
    <w:basedOn w:val="a"/>
    <w:link w:val="ad"/>
    <w:uiPriority w:val="99"/>
    <w:semiHidden/>
    <w:unhideWhenUsed/>
    <w:pPr>
      <w:spacing w:after="40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0"/>
    <w:uiPriority w:val="99"/>
    <w:unhideWhenUsed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</w:style>
  <w:style w:type="paragraph" w:styleId="af4">
    <w:name w:val="List Paragraph"/>
    <w:basedOn w:val="a"/>
    <w:uiPriority w:val="34"/>
    <w:qFormat/>
    <w:pPr>
      <w:ind w:left="720"/>
      <w:contextualSpacing/>
    </w:pPr>
  </w:style>
  <w:style w:type="character" w:styleId="af5">
    <w:name w:val="Strong"/>
    <w:basedOn w:val="a0"/>
    <w:uiPriority w:val="22"/>
    <w:qFormat/>
    <w:rPr>
      <w:rFonts w:cs="Times New Roman"/>
      <w:b/>
    </w:rPr>
  </w:style>
  <w:style w:type="paragraph" w:styleId="af6">
    <w:name w:val="Balloon Text"/>
    <w:basedOn w:val="a"/>
    <w:link w:val="af7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Pr>
      <w:rFonts w:ascii="Tahoma" w:hAnsi="Tahoma" w:cs="Tahoma"/>
      <w:sz w:val="16"/>
      <w:szCs w:val="16"/>
    </w:rPr>
  </w:style>
  <w:style w:type="table" w:styleId="af8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9">
    <w:name w:val="header"/>
    <w:basedOn w:val="a"/>
    <w:link w:val="afa"/>
    <w:uiPriority w:val="99"/>
    <w:unhideWhenUsed/>
    <w:pPr>
      <w:tabs>
        <w:tab w:val="center" w:pos="4677"/>
        <w:tab w:val="right" w:pos="9355"/>
      </w:tabs>
    </w:pPr>
  </w:style>
  <w:style w:type="character" w:customStyle="1" w:styleId="afa">
    <w:name w:val="Верхний колонтитул Знак"/>
    <w:basedOn w:val="a0"/>
    <w:link w:val="af9"/>
    <w:uiPriority w:val="99"/>
    <w:rPr>
      <w:rFonts w:ascii="Calibri" w:hAnsi="Calibri" w:cs="Calibri"/>
    </w:rPr>
  </w:style>
  <w:style w:type="paragraph" w:styleId="afb">
    <w:name w:val="footer"/>
    <w:basedOn w:val="a"/>
    <w:link w:val="afc"/>
    <w:uiPriority w:val="99"/>
    <w:unhideWhenUsed/>
    <w:pPr>
      <w:tabs>
        <w:tab w:val="center" w:pos="4677"/>
        <w:tab w:val="right" w:pos="9355"/>
      </w:tabs>
    </w:pPr>
  </w:style>
  <w:style w:type="character" w:customStyle="1" w:styleId="afc">
    <w:name w:val="Нижний колонтитул Знак"/>
    <w:basedOn w:val="a0"/>
    <w:link w:val="afb"/>
    <w:uiPriority w:val="99"/>
    <w:rPr>
      <w:rFonts w:ascii="Calibri" w:hAnsi="Calibri" w:cs="Calibri"/>
    </w:rPr>
  </w:style>
  <w:style w:type="character" w:customStyle="1" w:styleId="gwt-inlinelabel">
    <w:name w:val="gwt-inlinelabel"/>
    <w:basedOn w:val="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../embeddings/oleObject1.bin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../embeddings/oleObject2.bin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../embeddings/oleObject3.bin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800" b="1" i="0" u="none" strike="noStrike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Количество поступивших обращений в Минтранс НСО в мае 2024 года в сравнении с апрелем 2024 года и маем 2023 года</a:t>
            </a:r>
          </a:p>
        </c:rich>
      </c:tx>
      <c:layout>
        <c:manualLayout>
          <c:xMode val="edge"/>
          <c:yMode val="edge"/>
          <c:x val="0.13539999999999999"/>
          <c:y val="4.3749999999999997E-2"/>
        </c:manualLayout>
      </c:layout>
      <c:overlay val="0"/>
      <c:spPr>
        <a:prstGeom prst="rect">
          <a:avLst/>
        </a:prstGeom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2024 год</c:v>
                </c:pt>
              </c:strCache>
            </c:strRef>
          </c:tx>
          <c:spPr>
            <a:prstGeom prst="rect">
              <a:avLst/>
            </a:prstGeom>
            <a:solidFill>
              <a:schemeClr val="accent1">
                <a:alpha val="85000"/>
              </a:schemeClr>
            </a:solidFill>
            <a:ln w="9525" cap="flat" cmpd="sng" algn="ctr">
              <a:solidFill>
                <a:schemeClr val="lt1">
                  <a:alpha val="50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1" i="0" u="none" strike="noStrike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val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213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673-4589-8447-EC0778CE762A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2024 год</c:v>
                </c:pt>
              </c:strCache>
            </c:strRef>
          </c:tx>
          <c:spPr>
            <a:prstGeom prst="rect">
              <a:avLst/>
            </a:prstGeom>
            <a:solidFill>
              <a:schemeClr val="accent2">
                <a:alpha val="85000"/>
              </a:schemeClr>
            </a:solidFill>
            <a:ln w="9525" cap="flat" cmpd="sng" algn="ctr">
              <a:solidFill>
                <a:schemeClr val="lt1">
                  <a:alpha val="50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1" i="0" u="none" strike="noStrike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val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194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D673-4589-8447-EC0778CE762A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май 2023 год</c:v>
                </c:pt>
              </c:strCache>
            </c:strRef>
          </c:tx>
          <c:spPr>
            <a:prstGeom prst="rect">
              <a:avLst/>
            </a:prstGeom>
            <a:solidFill>
              <a:schemeClr val="accent3">
                <a:alpha val="85000"/>
              </a:schemeClr>
            </a:solidFill>
            <a:ln w="9525" cap="flat" cmpd="sng" algn="ctr">
              <a:solidFill>
                <a:schemeClr val="lt1">
                  <a:alpha val="50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1" i="0" u="none" strike="noStrike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val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137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D673-4589-8447-EC0778CE762A}"/>
            </c:ext>
          </c:extLst>
        </c:ser>
        <c:dLbls>
          <c:dLblPos val="inEnd"/>
          <c:showLegendKey val="0"/>
          <c:showVal val="1"/>
          <c:showCatName val="0"/>
          <c:showSerName val="0"/>
          <c:showPercent val="0"/>
          <c:showBubbleSize val="0"/>
        </c:dLbls>
        <c:gapWidth val="65"/>
        <c:axId val="95185920"/>
        <c:axId val="95200000"/>
      </c:barChart>
      <c:catAx>
        <c:axId val="9518592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prstGeom prst="rect">
            <a:avLst/>
          </a:prstGeom>
          <a:noFill/>
          <a:ln w="19050" cap="flat" cmpd="sng" algn="ctr">
            <a:solidFill>
              <a:schemeClr val="dk1">
                <a:lumMod val="75000"/>
                <a:lumOff val="2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cap="all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95200000"/>
        <c:crosses val="autoZero"/>
        <c:auto val="1"/>
        <c:lblAlgn val="ctr"/>
        <c:lblOffset val="100"/>
        <c:noMultiLvlLbl val="0"/>
      </c:catAx>
      <c:valAx>
        <c:axId val="95200000"/>
        <c:scaling>
          <c:orientation val="minMax"/>
        </c:scaling>
        <c:delete val="1"/>
        <c:axPos val="l"/>
        <c:majorGridlines>
          <c:spPr>
            <a:prstGeom prst="rect">
              <a:avLst/>
            </a:prstGeom>
            <a:ln w="9525" cap="flat" cmpd="sng" algn="ctr">
              <a:gradFill>
                <a:gsLst>
                  <a:gs pos="0">
                    <a:schemeClr val="lt1">
                      <a:lumMod val="75000"/>
                      <a:alpha val="36000"/>
                    </a:schemeClr>
                  </a:gs>
                  <a:gs pos="100000">
                    <a:schemeClr val="dk1">
                      <a:lumMod val="95000"/>
                      <a:lumOff val="5000"/>
                      <a:alpha val="42000"/>
                    </a:schemeClr>
                  </a:gs>
                </a:gsLst>
                <a:lin ang="5400000" scaled="0"/>
              </a:gra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crossAx val="95185920"/>
        <c:crosses val="autoZero"/>
        <c:crossBetween val="between"/>
      </c:valAx>
      <c:spPr>
        <a:prstGeom prst="rect">
          <a:avLst/>
        </a:prstGeom>
        <a:noFill/>
        <a:ln>
          <a:noFill/>
        </a:ln>
        <a:effectLst/>
      </c:spPr>
    </c:plotArea>
    <c:legend>
      <c:legendPos val="b"/>
      <c:overlay val="0"/>
      <c:spPr>
        <a:prstGeom prst="rect">
          <a:avLst/>
        </a:prstGeom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xfrm>
      <a:off x="0" y="0"/>
      <a:ext cx="6073250" cy="3199762"/>
    </a:xfrm>
    <a:prstGeom prst="rect">
      <a:avLst/>
    </a:prstGeom>
    <a:gradFill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0"/>
      <c:rotY val="0"/>
      <c:depthPercent val="60"/>
      <c:rAngAx val="0"/>
      <c:perspective val="100"/>
    </c:view3D>
    <c:floor>
      <c:thickness val="0"/>
      <c:spPr>
        <a:prstGeom prst="rect">
          <a:avLst/>
        </a:prstGeom>
        <a:solidFill>
          <a:schemeClr val="lt1">
            <a:lumMod val="95000"/>
          </a:schemeClr>
        </a:solidFill>
        <a:ln>
          <a:noFill/>
        </a:ln>
        <a:effectLst/>
      </c:spPr>
    </c:floor>
    <c:sideWall>
      <c:thickness val="0"/>
      <c:spPr>
        <a:prstGeom prst="rect">
          <a:avLst/>
        </a:prstGeom>
        <a:noFill/>
        <a:ln>
          <a:noFill/>
        </a:ln>
        <a:effectLst/>
      </c:spPr>
    </c:sideWall>
    <c:backWall>
      <c:thickness val="0"/>
      <c:spPr>
        <a:prstGeom prst="rect">
          <a:avLst/>
        </a:prstGeom>
        <a:noFill/>
        <a:ln>
          <a:noFill/>
        </a:ln>
        <a:effectLst/>
      </c:spPr>
    </c:backWall>
    <c:plotArea>
      <c:layout>
        <c:manualLayout>
          <c:layoutTarget val="inner"/>
          <c:xMode val="edge"/>
          <c:yMode val="edge"/>
          <c:x val="7.8670000000000004E-2"/>
          <c:y val="4.4049999999999999E-2"/>
          <c:w val="0.90281"/>
          <c:h val="0.74653000000000003"/>
        </c:manualLayout>
      </c:layout>
      <c:bar3DChart>
        <c:barDir val="col"/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 2023г.</c:v>
                </c:pt>
              </c:strCache>
            </c:strRef>
          </c:tx>
          <c:spPr>
            <a:prstGeom prst="rect">
              <a:avLst/>
            </a:prstGeom>
            <a:solidFill>
              <a:schemeClr val="accent1">
                <a:alpha val="85000"/>
              </a:schemeClr>
            </a:solidFill>
            <a:ln w="9525" cap="flat" cmpd="sng" algn="ctr">
              <a:solidFill>
                <a:schemeClr val="accent1">
                  <a:lumMod val="75000"/>
                </a:schemeClr>
              </a:solidFill>
              <a:round/>
            </a:ln>
            <a:effectLst/>
          </c:spPr>
          <c:invertIfNegative val="0"/>
          <c:dLbls>
            <c:dLbl>
              <c:idx val="0"/>
              <c:layout>
                <c:manualLayout>
                  <c:x val="-5.3240000000000003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7B7F-437C-BACE-F472A840357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0" i="0" u="none" strike="noStrike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</c:v>
                </c:pt>
                <c:pt idx="1">
                  <c:v>устные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124</c:v>
                </c:pt>
                <c:pt idx="1">
                  <c:v>11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7B7F-437C-BACE-F472A8403572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апрель 2024 г.</c:v>
                </c:pt>
              </c:strCache>
            </c:strRef>
          </c:tx>
          <c:spPr>
            <a:prstGeom prst="rect">
              <a:avLst/>
            </a:prstGeom>
            <a:solidFill>
              <a:schemeClr val="accent2">
                <a:alpha val="85000"/>
              </a:schemeClr>
            </a:solidFill>
            <a:ln w="9525" cap="flat" cmpd="sng" algn="ctr">
              <a:solidFill>
                <a:schemeClr val="accent2">
                  <a:lumMod val="75000"/>
                </a:schemeClr>
              </a:solidFill>
              <a:round/>
            </a:ln>
            <a:effectLst/>
          </c:spPr>
          <c:invertIfNegative val="0"/>
          <c:dLbls>
            <c:dLbl>
              <c:idx val="0"/>
              <c:layout>
                <c:manualLayout>
                  <c:x val="-4.6300000000000001E-2"/>
                  <c:y val="7.929999999999999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7B7F-437C-BACE-F472A840357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0" i="0" u="none" strike="noStrike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</c:v>
                </c:pt>
                <c:pt idx="1">
                  <c:v>устные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212</c:v>
                </c:pt>
                <c:pt idx="1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7B7F-437C-BACE-F472A8403572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май 2024г.</c:v>
                </c:pt>
              </c:strCache>
            </c:strRef>
          </c:tx>
          <c:spPr>
            <a:prstGeom prst="rect">
              <a:avLst/>
            </a:prstGeom>
            <a:solidFill>
              <a:schemeClr val="accent3">
                <a:alpha val="85000"/>
              </a:schemeClr>
            </a:solidFill>
            <a:ln w="9525" cap="flat" cmpd="sng" algn="ctr">
              <a:solidFill>
                <a:schemeClr val="accent3">
                  <a:lumMod val="75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0" i="0" u="none" strike="noStrike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</c:v>
                </c:pt>
                <c:pt idx="1">
                  <c:v>устные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191</c:v>
                </c:pt>
                <c:pt idx="1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7B7F-437C-BACE-F472A840357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65"/>
        <c:shape val="cylinder"/>
        <c:axId val="88480384"/>
        <c:axId val="88498560"/>
        <c:axId val="43466240"/>
      </c:bar3DChart>
      <c:catAx>
        <c:axId val="88480384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prstGeom prst="rect">
            <a:avLst/>
          </a:prstGeom>
          <a:noFill/>
          <a:ln w="19050" cap="flat" cmpd="sng" algn="ctr">
            <a:solidFill>
              <a:schemeClr val="dk1">
                <a:lumMod val="75000"/>
                <a:lumOff val="2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cap="all">
                <a:solidFill>
                  <a:schemeClr val="dk1">
                    <a:lumMod val="75000"/>
                    <a:lumOff val="25000"/>
                  </a:schemeClr>
                </a:solidFill>
                <a:latin typeface="Calibri"/>
                <a:ea typeface="Arial"/>
                <a:cs typeface="Arial"/>
              </a:defRPr>
            </a:pPr>
            <a:endParaRPr lang="ru-RU"/>
          </a:p>
        </c:txPr>
        <c:crossAx val="88498560"/>
        <c:crosses val="autoZero"/>
        <c:auto val="1"/>
        <c:lblAlgn val="ctr"/>
        <c:lblOffset val="100"/>
        <c:noMultiLvlLbl val="0"/>
      </c:catAx>
      <c:valAx>
        <c:axId val="88498560"/>
        <c:scaling>
          <c:orientation val="minMax"/>
        </c:scaling>
        <c:delete val="0"/>
        <c:axPos val="l"/>
        <c:majorGridlines>
          <c:spPr>
            <a:prstGeom prst="rect">
              <a:avLst/>
            </a:prstGeom>
            <a:ln w="9525" cap="flat" cmpd="sng" algn="ctr">
              <a:solidFill>
                <a:schemeClr val="dk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prstGeom prst="rect">
            <a:avLst/>
          </a:prstGeom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>
                <a:solidFill>
                  <a:schemeClr val="dk1">
                    <a:lumMod val="75000"/>
                    <a:lumOff val="25000"/>
                  </a:schemeClr>
                </a:solidFill>
                <a:latin typeface="Calibri"/>
                <a:ea typeface="Arial"/>
                <a:cs typeface="Arial"/>
              </a:defRPr>
            </a:pPr>
            <a:endParaRPr lang="ru-RU"/>
          </a:p>
        </c:txPr>
        <c:crossAx val="88480384"/>
        <c:crosses val="autoZero"/>
        <c:crossBetween val="between"/>
      </c:valAx>
      <c:serAx>
        <c:axId val="43466240"/>
        <c:scaling>
          <c:orientation val="minMax"/>
        </c:scaling>
        <c:delete val="0"/>
        <c:axPos val="b"/>
        <c:majorTickMark val="none"/>
        <c:minorTickMark val="none"/>
        <c:tickLblPos val="nextTo"/>
        <c:spPr>
          <a:prstGeom prst="rect">
            <a:avLst/>
          </a:prstGeom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>
                <a:solidFill>
                  <a:schemeClr val="dk1">
                    <a:lumMod val="75000"/>
                    <a:lumOff val="25000"/>
                  </a:schemeClr>
                </a:solidFill>
                <a:latin typeface="Calibri"/>
                <a:ea typeface="Arial"/>
                <a:cs typeface="Arial"/>
              </a:defRPr>
            </a:pPr>
            <a:endParaRPr lang="ru-RU"/>
          </a:p>
        </c:txPr>
        <c:crossAx val="88498560"/>
        <c:crosses val="autoZero"/>
      </c:serAx>
      <c:spPr>
        <a:prstGeom prst="rect">
          <a:avLst/>
        </a:prstGeom>
        <a:noFill/>
        <a:ln>
          <a:noFill/>
        </a:ln>
        <a:effectLst/>
      </c:spPr>
    </c:plotArea>
    <c:legend>
      <c:legendPos val="b"/>
      <c:overlay val="0"/>
      <c:spPr>
        <a:prstGeom prst="rect">
          <a:avLst/>
        </a:prstGeom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xfrm>
      <a:off x="0" y="0"/>
      <a:ext cx="6407620" cy="3199762"/>
    </a:xfrm>
    <a:prstGeom prst="rect">
      <a:avLst/>
    </a:prstGeom>
    <a:gradFill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800" b="1" i="0" u="none" strike="noStrike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Поступившие заявления и жалобы в Минтранс НСО в мае 2024 года в сравнении с апрелем 2024 года и маем 2023 года</a:t>
            </a:r>
          </a:p>
        </c:rich>
      </c:tx>
      <c:layout>
        <c:manualLayout>
          <c:xMode val="edge"/>
          <c:yMode val="edge"/>
          <c:x val="0.13250000000000001"/>
          <c:y val="1.9859999999999999E-2"/>
        </c:manualLayout>
      </c:layout>
      <c:overlay val="0"/>
      <c:spPr>
        <a:prstGeom prst="rect">
          <a:avLst/>
        </a:prstGeom>
        <a:noFill/>
        <a:ln>
          <a:noFill/>
        </a:ln>
        <a:effectLst/>
      </c:spPr>
    </c:title>
    <c:autoTitleDeleted val="0"/>
    <c:view3D>
      <c:rotX val="0"/>
      <c:rotY val="0"/>
      <c:depthPercent val="60"/>
      <c:rAngAx val="0"/>
      <c:perspective val="100"/>
    </c:view3D>
    <c:floor>
      <c:thickness val="0"/>
      <c:spPr>
        <a:prstGeom prst="rect">
          <a:avLst/>
        </a:prstGeom>
        <a:solidFill>
          <a:schemeClr val="lt1">
            <a:lumMod val="95000"/>
          </a:schemeClr>
        </a:solidFill>
        <a:ln>
          <a:noFill/>
        </a:ln>
        <a:effectLst/>
      </c:spPr>
    </c:floor>
    <c:sideWall>
      <c:thickness val="0"/>
      <c:spPr>
        <a:prstGeom prst="rect">
          <a:avLst/>
        </a:prstGeom>
        <a:noFill/>
        <a:ln>
          <a:noFill/>
        </a:ln>
        <a:effectLst/>
      </c:spPr>
    </c:sideWall>
    <c:backWall>
      <c:thickness val="0"/>
      <c:spPr>
        <a:prstGeom prst="rect">
          <a:avLst/>
        </a:prstGeom>
        <a:noFill/>
        <a:ln>
          <a:noFill/>
        </a:ln>
        <a:effectLst/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 2024 год </c:v>
                </c:pt>
              </c:strCache>
            </c:strRef>
          </c:tx>
          <c:spPr>
            <a:prstGeom prst="rect">
              <a:avLst/>
            </a:prstGeom>
            <a:solidFill>
              <a:schemeClr val="accent1">
                <a:alpha val="85000"/>
              </a:schemeClr>
            </a:solidFill>
            <a:ln w="9525" cap="flat" cmpd="sng" algn="ctr">
              <a:solidFill>
                <a:schemeClr val="accent1">
                  <a:lumMod val="75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0" i="0" u="none" strike="noStrike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заявления</c:v>
                </c:pt>
                <c:pt idx="1">
                  <c:v>жалобы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171</c:v>
                </c:pt>
                <c:pt idx="1">
                  <c:v>13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746-40E6-AF38-B0F977ECF1E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апрель 2024 год</c:v>
                </c:pt>
              </c:strCache>
            </c:strRef>
          </c:tx>
          <c:spPr>
            <a:prstGeom prst="rect">
              <a:avLst/>
            </a:prstGeom>
            <a:solidFill>
              <a:schemeClr val="accent2">
                <a:alpha val="85000"/>
              </a:schemeClr>
            </a:solidFill>
            <a:ln w="9525" cap="flat" cmpd="sng" algn="ctr">
              <a:solidFill>
                <a:schemeClr val="accent2">
                  <a:lumMod val="75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0" i="0" u="none" strike="noStrike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заявления</c:v>
                </c:pt>
                <c:pt idx="1">
                  <c:v>жалобы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197</c:v>
                </c:pt>
                <c:pt idx="1">
                  <c:v>13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D746-40E6-AF38-B0F977ECF1E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май 2023 год</c:v>
                </c:pt>
              </c:strCache>
            </c:strRef>
          </c:tx>
          <c:spPr>
            <a:prstGeom prst="rect">
              <a:avLst/>
            </a:prstGeom>
            <a:solidFill>
              <a:schemeClr val="accent3">
                <a:alpha val="85000"/>
              </a:schemeClr>
            </a:solidFill>
            <a:ln w="9525" cap="flat" cmpd="sng" algn="ctr">
              <a:solidFill>
                <a:schemeClr val="accent3">
                  <a:lumMod val="75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0" i="0" u="none" strike="noStrike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заявления</c:v>
                </c:pt>
                <c:pt idx="1">
                  <c:v>жалобы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18</c:v>
                </c:pt>
                <c:pt idx="1">
                  <c:v>101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D746-40E6-AF38-B0F977ECF1E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65"/>
        <c:shape val="cylinder"/>
        <c:axId val="95782400"/>
        <c:axId val="95783936"/>
        <c:axId val="0"/>
      </c:bar3DChart>
      <c:catAx>
        <c:axId val="9578240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prstGeom prst="rect">
            <a:avLst/>
          </a:prstGeom>
          <a:noFill/>
          <a:ln w="19050" cap="flat" cmpd="sng" algn="ctr">
            <a:solidFill>
              <a:schemeClr val="dk1">
                <a:lumMod val="75000"/>
                <a:lumOff val="2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cap="all">
                <a:solidFill>
                  <a:schemeClr val="dk1">
                    <a:lumMod val="75000"/>
                    <a:lumOff val="25000"/>
                  </a:schemeClr>
                </a:solidFill>
                <a:latin typeface="Calibri"/>
                <a:ea typeface="Arial"/>
                <a:cs typeface="Arial"/>
              </a:defRPr>
            </a:pPr>
            <a:endParaRPr lang="ru-RU"/>
          </a:p>
        </c:txPr>
        <c:crossAx val="95783936"/>
        <c:crosses val="autoZero"/>
        <c:auto val="1"/>
        <c:lblAlgn val="ctr"/>
        <c:lblOffset val="100"/>
        <c:noMultiLvlLbl val="0"/>
      </c:catAx>
      <c:valAx>
        <c:axId val="95783936"/>
        <c:scaling>
          <c:orientation val="minMax"/>
        </c:scaling>
        <c:delete val="0"/>
        <c:axPos val="l"/>
        <c:majorGridlines>
          <c:spPr>
            <a:prstGeom prst="rect">
              <a:avLst/>
            </a:prstGeom>
            <a:ln w="9525" cap="flat" cmpd="sng" algn="ctr">
              <a:solidFill>
                <a:schemeClr val="dk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one"/>
        <c:spPr>
          <a:prstGeom prst="rect">
            <a:avLst/>
          </a:prstGeom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95782400"/>
        <c:crosses val="autoZero"/>
        <c:crossBetween val="between"/>
      </c:valAx>
      <c:spPr>
        <a:prstGeom prst="rect">
          <a:avLst/>
        </a:prstGeom>
        <a:noFill/>
        <a:ln>
          <a:noFill/>
        </a:ln>
        <a:effectLst/>
      </c:spPr>
    </c:plotArea>
    <c:legend>
      <c:legendPos val="b"/>
      <c:overlay val="0"/>
      <c:spPr>
        <a:prstGeom prst="rect">
          <a:avLst/>
        </a:prstGeom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xfrm>
      <a:off x="0" y="0"/>
      <a:ext cx="6216552" cy="3418761"/>
    </a:xfrm>
    <a:prstGeom prst="rect">
      <a:avLst/>
    </a:prstGeom>
    <a:gradFill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E4A5D9-B0A6-41E3-9958-CAEE0B48E4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769</Words>
  <Characters>4387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5146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Тимофеева Ольга Евгеньевна</dc:creator>
  <cp:lastModifiedBy>Козиненко Павел Валентинович</cp:lastModifiedBy>
  <cp:revision>5</cp:revision>
  <dcterms:created xsi:type="dcterms:W3CDTF">2024-06-11T09:55:00Z</dcterms:created>
  <dcterms:modified xsi:type="dcterms:W3CDTF">2024-06-11T10:05:00Z</dcterms:modified>
</cp:coreProperties>
</file>