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от «__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_»_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_____ № ______</w:t>
      </w: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ПРОГРАММА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рисков причинения вреда (ущерба) охраняемым законом ценностям по осуществлению 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на 202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8"/>
          <w:szCs w:val="28"/>
        </w:rPr>
        <w:outlineLvl w:val="1"/>
      </w:pPr>
      <w:r/>
      <w:bookmarkStart w:id="0" w:name="undefined"/>
      <w:r/>
      <w:bookmarkEnd w:id="0"/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Анализ текущего состояния осуществления вида контроля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 Настоящая программа разработана в соответствии со</w:t>
      </w:r>
      <w:r>
        <w:rPr>
          <w:rFonts w:ascii="Times New Roman" w:hAnsi="Times New Roman" w:eastAsia="Calibri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статьей 44</w:t>
      </w:r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закона от 31.07.2021 № 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постановлением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постано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влением Правительства Новосибирской области от 13.12.2021 № 519-п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Ново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сибирской области» министерство транспорта и дорожного хозяйства Новосибирской области (далее – контрольный орган) уполномочено осуществлять региональный государственный контроль (надзор) деятельности, действия (бездействия) контролируемых лиц, в рамках ко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торого должны соблюдаться обязательные требования к осуществлению сохранности автомобильных дорог регионального и межмуниципального значения Новосибирской области (далее – региональный государственный контроль (надзор) за сохранностью автомобильных дорог).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 осуществлении государственного контроля контрольный орган осуществляет надзор за соблюдением обязательных требований в части сохранности автодорог по соблюдению организациями действующего федер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ального законодательства и нормативных требований при выполнении дорожно-строительных работ, а также на соответствие использования придорожных полос и существующих или устраиваемых присоединений к автомобильным дорогам действующим обязательным требованиям: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 Основными целями Программы профилактики являются: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1.1. Стимулирование добросовестного соблюдения обязательных требований всеми контролируемыми лицами.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1.3. 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Укрепление системы профилактики нарушений обязательных требований.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2.2. Повышение правосознания и правовой культуры руководителей органов государственной власти, органов местного самоуправления, контролируемых лиц.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разработка мероприятий, направленных на их устранения.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outlineLvl w:val="4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Перечень профилактических мероприятий, сроки (периодичность) их проведения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1_634"/>
        <w:tblpPr w:horzAnchor="text" w:tblpXSpec="left" w:vertAnchor="text" w:tblpY="1" w:leftFromText="180" w:topFromText="0" w:rightFromText="180" w:bottomFromText="0"/>
        <w:tblW w:w="9354" w:type="dxa"/>
        <w:tblLayout w:type="fixed"/>
        <w:tblLook w:val="04A0" w:firstRow="1" w:lastRow="0" w:firstColumn="1" w:lastColumn="0" w:noHBand="0" w:noVBand="1"/>
      </w:tblPr>
      <w:tblGrid>
        <w:gridCol w:w="717"/>
        <w:gridCol w:w="3814"/>
        <w:gridCol w:w="2552"/>
        <w:gridCol w:w="2271"/>
      </w:tblGrid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Структурное подразделение, ответственное за реализацию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по вопросам соблюдения обязательных требований посредством размещения сведений на официальном сайте контрольного органа в информационно-телекоммуникационной сети «Интернет», в средствах массовой информации и иных формах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дорожного комплекса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практики. Доклад о правоприменительной практике готовится контрольным органом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один раз в год и утверждается приказом контрольного органа до 15 марта года, следующего за отчетным годом.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Один раз в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дорожного комплекса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Объявление предостережения контролируемому органу о недопустимости нарушения обязательных требований в соответствии с положением о региональном государственном контроле (надзоре)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наличии оснований, предусмотренных действующим законодательством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дорожного комплекса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по вопросам соблюдения обязательных требований посредством: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1) видео-конференц-связи;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2) на личном приеме либо в ходе проведения профилактического мероприятия;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off"/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3) по телефону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r>
            <w:r>
              <w:rPr>
                <w:rFonts w:ascii="Calibri" w:hAnsi="Calibri" w:eastAsia="Times New Roman" w:cs="Calibri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текущем режиме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 случае обращения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дорожного комплекса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8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Профилактический визит в отношении контролируемых лиц проводится должностными лицами контрольного органа в форме профилактической беседы по месту осуществления деятельности контролируемого лица, либо с использованием видеоконференцсвязи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 наличии оснований.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дорожного комплекса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Показатели результативности и эффективности Программы профилактики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5694"/>
        <w:gridCol w:w="2980"/>
      </w:tblGrid>
      <w:tr>
        <w:tblPrEx/>
        <w:trPr/>
        <w:tc>
          <w:tcPr>
            <w:tcBorders>
              <w:top w:val="single" w:color="000000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56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выполнения/периодичность проведения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Содержание, полнота и досто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верность информации, размещённой на официальном сайте контрольного органа в сети «Интернет» в соответствии с частью 3 стать 46 Федерального закона от 31.07.2020 № 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100% от числа обратившихся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69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менее 1 мероприятия,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проведенных контрольным органом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zh-C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  <w:r>
        <w:rPr>
          <w:rFonts w:ascii="Times New Roman" w:hAnsi="Times New Roman" w:eastAsia="Times New Roman" w:cs="Times New Roman"/>
          <w:sz w:val="27"/>
          <w:szCs w:val="27"/>
          <w:lang w:eastAsia="zh-CN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запланированных в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егионального государственного контроля (надзора) на автомобильном транспорте, 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48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2693"/>
        <w:gridCol w:w="2551"/>
        <w:gridCol w:w="2127"/>
      </w:tblGrid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93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профилактическом </w:t>
            </w:r>
            <w:r>
              <w:rPr>
                <w:rFonts w:ascii="Times New Roman" w:hAnsi="Times New Roman" w:cs="Times New Roman"/>
              </w:rPr>
              <w:t xml:space="preserve">мероприятии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(отнесение объекта контроля к высокой категории риска)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проведения профилактического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</w:t>
            </w:r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</w:t>
            </w:r>
            <w:r>
              <w:rPr>
                <w:rFonts w:ascii="Times New Roman" w:hAnsi="Times New Roman" w:cs="Times New Roman"/>
                <w:b/>
                <w:i/>
              </w:rPr>
            </w:r>
            <w:r>
              <w:rPr>
                <w:rFonts w:ascii="Times New Roman" w:hAnsi="Times New Roman" w:cs="Times New Roman"/>
                <w:b/>
                <w:i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«Новосибирскавтодор»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1025402462689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5405162714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Диденко 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320547600152902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542709566536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1085470000153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5421110738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СтройДорСиб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1045406824715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5452110833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«СТРОЙДОР2015»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1155476049630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d9d9d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5409000930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СтройКабель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1115476034343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5404433672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Сибдортехнология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1125476037895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5407474148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«Ресурс»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1025405012027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5427104392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«Энергия Топлива»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1105404002439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5404408073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4" w:customStyle="1">
    <w:name w:val="Сетка таблицы1"/>
    <w:basedOn w:val="715"/>
    <w:next w:val="880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2024-12-20T08:45:30Z</dcterms:modified>
</cp:coreProperties>
</file>