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75C" w:rsidRDefault="00D078DA">
      <w:pPr>
        <w:shd w:val="clear" w:color="auto" w:fill="FFFFFF"/>
        <w:tabs>
          <w:tab w:val="left" w:pos="0"/>
        </w:tabs>
        <w:ind w:right="-286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Информационно-статистический обзор обращений,</w:t>
      </w:r>
    </w:p>
    <w:p w:rsidR="00B7375C" w:rsidRDefault="00D078DA">
      <w:pPr>
        <w:shd w:val="clear" w:color="auto" w:fill="FFFFFF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рассмотренных в </w:t>
      </w:r>
      <w:r w:rsidR="003E7EBC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064AA9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3E7EBC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="00064AA9">
        <w:rPr>
          <w:rFonts w:ascii="Times New Roman" w:eastAsia="Times New Roman" w:hAnsi="Times New Roman"/>
          <w:b/>
          <w:sz w:val="28"/>
          <w:szCs w:val="28"/>
          <w:lang w:eastAsia="ru-RU"/>
        </w:rPr>
        <w:t>м квартале 2025 года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запросов информации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и обращений граждан, объединений граждан, в том числе юридических лиц, поступивших в адрес министерства транспорта и дорожного хозяйства Новосибирской области, а также результатов рассмотрения обращений и принятых мер</w:t>
      </w:r>
    </w:p>
    <w:p w:rsidR="00B7375C" w:rsidRDefault="00B7375C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7375C" w:rsidRDefault="00D078DA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Рассмотрение письменных и личных обращений, устных обращений и запросов граждан, объединений граждан, в том числе юридических лиц, поступивших в адрес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министерства транспорта и дорожного хозяйства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 и министерства транспорта </w:t>
      </w:r>
      <w:r>
        <w:rPr>
          <w:rFonts w:ascii="Times New Roman" w:hAnsi="Times New Roman" w:cs="Times New Roman"/>
          <w:sz w:val="28"/>
          <w:szCs w:val="28"/>
        </w:rPr>
        <w:t>(далее – министерство)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375C" w:rsidRDefault="00D078DA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Граждане, представители организаций и общественных объединений имеют возможность обратиться в министерство путем направления письменных обращений почтовой связью либо предоставлением их в приемную Минтранса, а также в форме электронного документа на официальный сайт министерства, либо на электронную почту. Личные обращения граждан рассматриваются на личных приемах, проводимых министром транспорта и дорожного хозяйства Новосибирской области либо лицом его замещающим.</w:t>
      </w:r>
    </w:p>
    <w:p w:rsidR="00B7375C" w:rsidRPr="003B6234" w:rsidRDefault="00D078DA">
      <w:pPr>
        <w:spacing w:line="276" w:lineRule="auto"/>
        <w:ind w:firstLine="720"/>
        <w:jc w:val="both"/>
        <w:rPr>
          <w:rStyle w:val="af5"/>
          <w:rFonts w:ascii="Times New Roman" w:hAnsi="Times New Roman"/>
          <w:b w:val="0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период 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064AA9" w:rsidRPr="005828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01.0</w:t>
      </w:r>
      <w:r w:rsidR="003E7E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064AA9" w:rsidRPr="005828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.2025 по 3</w:t>
      </w:r>
      <w:r w:rsidR="004C00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="00064AA9" w:rsidRPr="005828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</w:t>
      </w:r>
      <w:r w:rsidR="003E7E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="00064AA9" w:rsidRPr="005828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.2025</w:t>
      </w:r>
      <w:r w:rsidR="00064AA9" w:rsidRPr="005828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министерство транспорта и дорожного хозяйства Новосибирской области поступило </w:t>
      </w:r>
      <w:r w:rsidR="003E7EBC">
        <w:rPr>
          <w:rFonts w:ascii="Times New Roman" w:hAnsi="Times New Roman" w:cs="Times New Roman"/>
          <w:color w:val="000000" w:themeColor="text1"/>
          <w:sz w:val="28"/>
          <w:szCs w:val="28"/>
        </w:rPr>
        <w:t>447</w:t>
      </w:r>
      <w:r w:rsidR="00064AA9" w:rsidRPr="005828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3E7EBC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064AA9" w:rsidRPr="00582898">
        <w:rPr>
          <w:rFonts w:ascii="Times New Roman" w:hAnsi="Times New Roman" w:cs="Times New Roman"/>
          <w:color w:val="000000" w:themeColor="text1"/>
          <w:sz w:val="28"/>
          <w:szCs w:val="28"/>
        </w:rPr>
        <w:t>, (</w:t>
      </w:r>
      <w:r w:rsidR="003E7E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втором </w:t>
      </w:r>
      <w:r w:rsidR="00064AA9" w:rsidRPr="00582898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</w:t>
      </w:r>
      <w:r w:rsidR="004C006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64AA9" w:rsidRPr="005828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- </w:t>
      </w:r>
      <w:r w:rsidR="003E7E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502, и в третьем </w:t>
      </w:r>
      <w:r w:rsidR="00064AA9" w:rsidRPr="00582898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</w:t>
      </w:r>
      <w:r w:rsidR="00064AA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64AA9" w:rsidRPr="005828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- </w:t>
      </w:r>
      <w:r w:rsidR="003E7EBC">
        <w:rPr>
          <w:rFonts w:ascii="Times New Roman" w:hAnsi="Times New Roman" w:cs="Times New Roman"/>
          <w:color w:val="000000" w:themeColor="text1"/>
          <w:sz w:val="28"/>
          <w:szCs w:val="28"/>
        </w:rPr>
        <w:t>920</w:t>
      </w:r>
      <w:r w:rsidR="00064AA9" w:rsidRPr="005828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64AA9" w:rsidRPr="0058289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индивидуальных и коллективных обращений, включая обращения объединений граждан, в том числе юридических лиц. Количество поступивших обращений в данном квартале </w:t>
      </w:r>
      <w:r w:rsidR="00064AA9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уменьшилось</w:t>
      </w:r>
      <w:r w:rsidR="00064AA9" w:rsidRPr="0058289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в сравнении с</w:t>
      </w:r>
      <w:r w:rsidR="003E7EBC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о</w:t>
      </w:r>
      <w:r w:rsidR="00064AA9" w:rsidRPr="0058289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3E7EBC">
        <w:rPr>
          <w:rFonts w:ascii="Times New Roman" w:hAnsi="Times New Roman" w:cs="Times New Roman"/>
          <w:color w:val="000000" w:themeColor="text1"/>
          <w:sz w:val="28"/>
          <w:szCs w:val="28"/>
        </w:rPr>
        <w:t>вторым</w:t>
      </w:r>
      <w:r w:rsidR="00064AA9" w:rsidRPr="005828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4AA9" w:rsidRPr="0058289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кварталом</w:t>
      </w:r>
      <w:r w:rsidR="00064AA9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202</w:t>
      </w:r>
      <w:r w:rsidR="004C0069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5</w:t>
      </w:r>
      <w:r w:rsidR="00064AA9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года на </w:t>
      </w:r>
      <w:r w:rsidR="003E7EBC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11</w:t>
      </w:r>
      <w:r w:rsidR="00064AA9" w:rsidRPr="0058289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% (на </w:t>
      </w:r>
      <w:r w:rsidR="003E7EBC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55</w:t>
      </w:r>
      <w:r w:rsidR="00064AA9" w:rsidRPr="0058289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обращени</w:t>
      </w:r>
      <w:r w:rsidR="003E7EBC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й</w:t>
      </w:r>
      <w:r w:rsidR="00064AA9" w:rsidRPr="0058289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), с </w:t>
      </w:r>
      <w:r w:rsidR="003E7EBC">
        <w:rPr>
          <w:rFonts w:ascii="Times New Roman" w:hAnsi="Times New Roman" w:cs="Times New Roman"/>
          <w:color w:val="000000" w:themeColor="text1"/>
          <w:sz w:val="28"/>
          <w:szCs w:val="28"/>
        </w:rPr>
        <w:t>третьим</w:t>
      </w:r>
      <w:r w:rsidR="00064AA9" w:rsidRPr="005828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4AA9" w:rsidRPr="0058289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кварталом </w:t>
      </w:r>
      <w:r w:rsidR="00064AA9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2024 </w:t>
      </w:r>
      <w:r w:rsidR="00064AA9" w:rsidRPr="0058289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года на </w:t>
      </w:r>
      <w:r w:rsidR="003E7EBC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51</w:t>
      </w:r>
      <w:r w:rsidR="00064AA9" w:rsidRPr="0058289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% (на </w:t>
      </w:r>
      <w:r w:rsidR="003E7EBC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473</w:t>
      </w:r>
      <w:r w:rsidR="00064AA9" w:rsidRPr="0058289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обращени</w:t>
      </w:r>
      <w:r w:rsidR="004C0069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я</w:t>
      </w:r>
      <w:r w:rsidR="00064AA9" w:rsidRPr="0058289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).</w:t>
      </w:r>
    </w:p>
    <w:p w:rsidR="00B7375C" w:rsidRPr="003B6234" w:rsidRDefault="00B7375C">
      <w:pPr>
        <w:spacing w:line="276" w:lineRule="auto"/>
        <w:jc w:val="both"/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</w:pPr>
    </w:p>
    <w:p w:rsidR="00B7375C" w:rsidRPr="003B6234" w:rsidRDefault="00D078DA">
      <w:pPr>
        <w:spacing w:line="276" w:lineRule="auto"/>
        <w:ind w:firstLine="720"/>
        <w:jc w:val="both"/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</w:pPr>
      <w:r w:rsidRPr="003B6234">
        <w:rPr>
          <w:rFonts w:ascii="Times New Roman" w:hAnsi="Times New Roman"/>
          <w:noProof/>
          <w:color w:val="943634" w:themeColor="accent2" w:themeShade="BF"/>
          <w:sz w:val="28"/>
          <w:szCs w:val="28"/>
          <w:lang w:eastAsia="ru-RU"/>
        </w:rPr>
        <w:drawing>
          <wp:inline distT="0" distB="0" distL="0" distR="0">
            <wp:extent cx="6003232" cy="2401292"/>
            <wp:effectExtent l="0" t="0" r="17145" b="18415"/>
            <wp:docPr id="1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7375C" w:rsidRPr="003B6234" w:rsidRDefault="00D078DA">
      <w:pPr>
        <w:spacing w:line="276" w:lineRule="auto"/>
        <w:jc w:val="both"/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</w:pPr>
      <w:r w:rsidRPr="003B6234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             </w:t>
      </w:r>
    </w:p>
    <w:p w:rsidR="00B7375C" w:rsidRPr="003B6234" w:rsidRDefault="00B7375C">
      <w:pPr>
        <w:spacing w:line="276" w:lineRule="auto"/>
        <w:jc w:val="both"/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</w:pPr>
    </w:p>
    <w:p w:rsidR="00B7375C" w:rsidRPr="003B6234" w:rsidRDefault="00B7375C">
      <w:pPr>
        <w:spacing w:line="276" w:lineRule="auto"/>
        <w:jc w:val="both"/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</w:pPr>
    </w:p>
    <w:p w:rsidR="00B7375C" w:rsidRPr="003B6234" w:rsidRDefault="00B7375C">
      <w:pPr>
        <w:spacing w:line="276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  <w:sectPr w:rsidR="00B7375C" w:rsidRPr="003B6234">
          <w:pgSz w:w="11906" w:h="16838"/>
          <w:pgMar w:top="709" w:right="992" w:bottom="284" w:left="567" w:header="709" w:footer="709" w:gutter="0"/>
          <w:cols w:space="708"/>
          <w:docGrid w:linePitch="360"/>
        </w:sectPr>
      </w:pPr>
    </w:p>
    <w:p w:rsidR="00B7375C" w:rsidRPr="003B6234" w:rsidRDefault="00B7375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B7375C" w:rsidRPr="003B6234">
          <w:type w:val="continuous"/>
          <w:pgSz w:w="11906" w:h="16838"/>
          <w:pgMar w:top="709" w:right="993" w:bottom="284" w:left="851" w:header="708" w:footer="708" w:gutter="0"/>
          <w:cols w:num="3" w:space="708"/>
          <w:docGrid w:linePitch="360"/>
        </w:sectPr>
      </w:pPr>
    </w:p>
    <w:p w:rsidR="0028656A" w:rsidRPr="003B6234" w:rsidRDefault="00D078DA">
      <w:pPr>
        <w:spacing w:line="276" w:lineRule="auto"/>
        <w:jc w:val="both"/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</w:pP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</w:t>
      </w:r>
      <w:r w:rsidR="003E7EBC">
        <w:rPr>
          <w:rFonts w:ascii="Times New Roman" w:hAnsi="Times New Roman" w:cs="Times New Roman"/>
          <w:color w:val="000000" w:themeColor="text1"/>
          <w:sz w:val="28"/>
          <w:szCs w:val="28"/>
        </w:rPr>
        <w:t>146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3B6234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7E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третьем 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</w:t>
      </w:r>
      <w:r w:rsidR="006657B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поступило из управления по работе с обращениями граждан - общественной приемной Губернатора области, (</w:t>
      </w:r>
      <w:r w:rsidR="003E7E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втором </w:t>
      </w:r>
      <w:r w:rsidR="003B6234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>квартале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4C006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A63067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63067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7EBC">
        <w:rPr>
          <w:rFonts w:ascii="Times New Roman" w:hAnsi="Times New Roman" w:cs="Times New Roman"/>
          <w:color w:val="000000" w:themeColor="text1"/>
          <w:sz w:val="28"/>
          <w:szCs w:val="28"/>
        </w:rPr>
        <w:t>214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E7E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третьем 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</w:t>
      </w:r>
      <w:r w:rsidR="006657B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-</w:t>
      </w:r>
      <w:r w:rsidR="00A63067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7EBC">
        <w:rPr>
          <w:rFonts w:ascii="Times New Roman" w:hAnsi="Times New Roman" w:cs="Times New Roman"/>
          <w:color w:val="000000" w:themeColor="text1"/>
          <w:sz w:val="28"/>
          <w:szCs w:val="28"/>
        </w:rPr>
        <w:t>281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="0028656A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Статистика показывает, что количество поступивших обращений из общественной приемной Губернатора</w:t>
      </w:r>
      <w:r w:rsidR="0028656A" w:rsidRPr="006657B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7F70D0">
        <w:rPr>
          <w:rFonts w:ascii="Times New Roman" w:hAnsi="Times New Roman" w:cs="Times New Roman"/>
          <w:color w:val="000000" w:themeColor="text1"/>
          <w:sz w:val="28"/>
          <w:szCs w:val="28"/>
        </w:rPr>
        <w:t>в третьем</w:t>
      </w:r>
      <w:r w:rsidR="006657B5" w:rsidRPr="006657B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6657B5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</w:t>
      </w:r>
      <w:r w:rsidR="002A166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656A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="003B6234" w:rsidRPr="006657B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2A166C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уменьшилось</w:t>
      </w:r>
      <w:r w:rsidR="003B6234" w:rsidRPr="006657B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в сравнении </w:t>
      </w:r>
      <w:r w:rsidR="007F70D0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со вторым</w:t>
      </w:r>
      <w:r w:rsidR="006657B5" w:rsidRPr="006657B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6657B5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>квартал</w:t>
      </w:r>
      <w:r w:rsidR="006657B5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6657B5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2A1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</w:t>
      </w:r>
      <w:r w:rsid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на </w:t>
      </w:r>
      <w:r w:rsidR="007F70D0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32</w:t>
      </w:r>
      <w:r w:rsidR="0028656A" w:rsidRPr="006657B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% (на </w:t>
      </w:r>
      <w:r w:rsidR="007F70D0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68</w:t>
      </w:r>
      <w:r w:rsidR="0028656A" w:rsidRPr="006657B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обращени</w:t>
      </w:r>
      <w:r w:rsidR="006657B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й</w:t>
      </w:r>
      <w:r w:rsidR="007F70D0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), </w:t>
      </w:r>
      <w:r w:rsidR="007F70D0" w:rsidRPr="006657B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в сравнении </w:t>
      </w:r>
      <w:r w:rsidR="007F70D0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с</w:t>
      </w:r>
      <w:r w:rsidR="007F70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треть</w:t>
      </w:r>
      <w:r w:rsidR="007F70D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F70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</w:t>
      </w:r>
      <w:r w:rsidR="0028656A" w:rsidRPr="006657B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кварталом прошлого года</w:t>
      </w:r>
      <w:r w:rsidR="00B92543" w:rsidRPr="006657B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7F70D0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-</w:t>
      </w:r>
      <w:r w:rsidR="006657B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7F70D0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48</w:t>
      </w:r>
      <w:r w:rsidR="006657B5" w:rsidRPr="006657B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% (на </w:t>
      </w:r>
      <w:r w:rsidR="007F70D0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135</w:t>
      </w:r>
      <w:r w:rsidR="006657B5" w:rsidRPr="006657B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обращени</w:t>
      </w:r>
      <w:r w:rsidR="007F70D0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й</w:t>
      </w:r>
      <w:r w:rsidR="006657B5" w:rsidRPr="006657B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)</w:t>
      </w:r>
      <w:r w:rsidR="00B92543" w:rsidRPr="006657B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.</w:t>
      </w:r>
    </w:p>
    <w:p w:rsidR="00B7375C" w:rsidRPr="003B6234" w:rsidRDefault="00D078D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6234"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 w:rsidR="007F70D0">
        <w:rPr>
          <w:rFonts w:ascii="Times New Roman" w:hAnsi="Times New Roman" w:cs="Times New Roman"/>
          <w:color w:val="000000" w:themeColor="text1"/>
          <w:sz w:val="28"/>
          <w:szCs w:val="28"/>
        </w:rPr>
        <w:t>301</w:t>
      </w:r>
      <w:r w:rsidR="00722461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>обращени</w:t>
      </w:r>
      <w:r w:rsidR="007F70D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поступило непосредственно в министерство, </w:t>
      </w:r>
      <w:r w:rsidR="007F70D0">
        <w:rPr>
          <w:rFonts w:ascii="Times New Roman" w:hAnsi="Times New Roman" w:cs="Times New Roman"/>
          <w:color w:val="000000" w:themeColor="text1"/>
          <w:sz w:val="28"/>
          <w:szCs w:val="28"/>
        </w:rPr>
        <w:t>во втором</w:t>
      </w:r>
      <w:r w:rsidR="004C00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</w:t>
      </w:r>
      <w:r w:rsidR="004C006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поступило </w:t>
      </w:r>
      <w:r w:rsidR="007F70D0">
        <w:rPr>
          <w:rFonts w:ascii="Times New Roman" w:hAnsi="Times New Roman" w:cs="Times New Roman"/>
          <w:color w:val="000000" w:themeColor="text1"/>
          <w:sz w:val="28"/>
          <w:szCs w:val="28"/>
        </w:rPr>
        <w:t>288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2A166C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</w:t>
      </w:r>
      <w:r w:rsidR="007F70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третьем 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квартале прошлого года </w:t>
      </w:r>
      <w:r w:rsid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F70D0">
        <w:rPr>
          <w:rFonts w:ascii="Times New Roman" w:hAnsi="Times New Roman" w:cs="Times New Roman"/>
          <w:color w:val="000000" w:themeColor="text1"/>
          <w:sz w:val="28"/>
          <w:szCs w:val="28"/>
        </w:rPr>
        <w:t>639</w:t>
      </w:r>
      <w:r w:rsidR="00722461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>обращени</w:t>
      </w:r>
      <w:r w:rsidR="002A166C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Количество обращений </w:t>
      </w:r>
      <w:r w:rsidR="007F70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третьем 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</w:t>
      </w:r>
      <w:r w:rsidR="006657B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7F70D0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увеличилось</w:t>
      </w:r>
      <w:r w:rsidR="00B92543" w:rsidRPr="006657B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сравнении </w:t>
      </w:r>
      <w:r w:rsidR="007F70D0">
        <w:rPr>
          <w:rFonts w:ascii="Times New Roman" w:hAnsi="Times New Roman" w:cs="Times New Roman"/>
          <w:color w:val="000000" w:themeColor="text1"/>
          <w:sz w:val="28"/>
          <w:szCs w:val="28"/>
        </w:rPr>
        <w:t>со вторым</w:t>
      </w:r>
      <w:r w:rsidR="002A166C" w:rsidRPr="006657B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2A166C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>квартал</w:t>
      </w:r>
      <w:r w:rsidR="002A166C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2A166C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2A1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</w:t>
      </w:r>
      <w:r w:rsid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 w:rsidR="008D64AB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7F70D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D64AB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(на </w:t>
      </w:r>
      <w:r w:rsidR="007F70D0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28656A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7F70D0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28656A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="007F70D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7F70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треть</w:t>
      </w:r>
      <w:r w:rsidR="007F70D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F70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</w:t>
      </w:r>
      <w:r w:rsidR="002A166C" w:rsidRPr="006657B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кварталом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прошлого года </w:t>
      </w:r>
      <w:r w:rsidR="007F70D0">
        <w:rPr>
          <w:rFonts w:ascii="Times New Roman" w:hAnsi="Times New Roman" w:cs="Times New Roman"/>
          <w:color w:val="000000" w:themeColor="text1"/>
          <w:sz w:val="28"/>
          <w:szCs w:val="28"/>
        </w:rPr>
        <w:t>уменьшилось</w:t>
      </w:r>
      <w:r w:rsidR="002A1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2A166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F70D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(на </w:t>
      </w:r>
      <w:r w:rsidR="007F70D0">
        <w:rPr>
          <w:rFonts w:ascii="Times New Roman" w:hAnsi="Times New Roman" w:cs="Times New Roman"/>
          <w:color w:val="000000" w:themeColor="text1"/>
          <w:sz w:val="28"/>
          <w:szCs w:val="28"/>
        </w:rPr>
        <w:t>338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7F70D0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B7375C" w:rsidRPr="003B6234" w:rsidRDefault="00B7375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375C" w:rsidRPr="003B6234" w:rsidRDefault="00D078D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6234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286499" cy="3133724"/>
            <wp:effectExtent l="0" t="0" r="635" b="1016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7375C" w:rsidRPr="003B6234" w:rsidRDefault="00B7375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30E8" w:rsidRPr="003B6234" w:rsidRDefault="00D078DA" w:rsidP="002B30E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Из числа поступивших обращений </w:t>
      </w:r>
      <w:r w:rsidR="002F101F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7F70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третьем 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</w:t>
      </w:r>
      <w:r w:rsidR="006657B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поступило </w:t>
      </w:r>
      <w:r w:rsidR="007F70D0">
        <w:rPr>
          <w:rFonts w:ascii="Times New Roman" w:hAnsi="Times New Roman" w:cs="Times New Roman"/>
          <w:color w:val="000000" w:themeColor="text1"/>
          <w:sz w:val="28"/>
          <w:szCs w:val="28"/>
        </w:rPr>
        <w:t>446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письменных обращений, </w:t>
      </w:r>
      <w:r w:rsidR="007F70D0">
        <w:rPr>
          <w:rFonts w:ascii="Times New Roman" w:hAnsi="Times New Roman" w:cs="Times New Roman"/>
          <w:color w:val="000000" w:themeColor="text1"/>
          <w:sz w:val="28"/>
          <w:szCs w:val="28"/>
        </w:rPr>
        <w:t>во втором</w:t>
      </w:r>
      <w:r w:rsidR="006657B5" w:rsidRPr="006657B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6657B5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</w:t>
      </w:r>
      <w:r w:rsidR="002A166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657B5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поступило </w:t>
      </w:r>
      <w:r w:rsidR="007F70D0">
        <w:rPr>
          <w:rFonts w:ascii="Times New Roman" w:hAnsi="Times New Roman" w:cs="Times New Roman"/>
          <w:color w:val="000000" w:themeColor="text1"/>
          <w:sz w:val="28"/>
          <w:szCs w:val="28"/>
        </w:rPr>
        <w:t>499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письменн</w:t>
      </w:r>
      <w:r w:rsidR="002F101F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7F70D0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F70D0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7F70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третьем 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</w:t>
      </w:r>
      <w:r w:rsidR="006657B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поступило </w:t>
      </w:r>
      <w:r w:rsidR="007F70D0">
        <w:rPr>
          <w:rFonts w:ascii="Times New Roman" w:hAnsi="Times New Roman" w:cs="Times New Roman"/>
          <w:color w:val="000000" w:themeColor="text1"/>
          <w:sz w:val="28"/>
          <w:szCs w:val="28"/>
        </w:rPr>
        <w:t>910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письменн</w:t>
      </w:r>
      <w:r w:rsidR="007F70D0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7F70D0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Количество письменных обращений </w:t>
      </w:r>
      <w:r w:rsidR="007F70D0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7F70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третьем 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</w:t>
      </w:r>
      <w:r w:rsidR="002B30E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6162CD" w:rsidRPr="006657B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уменьшилось</w:t>
      </w:r>
      <w:r w:rsidR="0027351D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2B30E8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сравнении </w:t>
      </w:r>
      <w:r w:rsidR="007F70D0">
        <w:rPr>
          <w:rFonts w:ascii="Times New Roman" w:hAnsi="Times New Roman" w:cs="Times New Roman"/>
          <w:color w:val="000000" w:themeColor="text1"/>
          <w:sz w:val="28"/>
          <w:szCs w:val="28"/>
        </w:rPr>
        <w:t>со вторым</w:t>
      </w:r>
      <w:r w:rsidR="002B30E8" w:rsidRPr="006657B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2B30E8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>квартал</w:t>
      </w:r>
      <w:r w:rsidR="002B30E8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2B30E8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2A166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B3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2B30E8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7F70D0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2B30E8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(на </w:t>
      </w:r>
      <w:r w:rsidR="007F70D0">
        <w:rPr>
          <w:rFonts w:ascii="Times New Roman" w:hAnsi="Times New Roman" w:cs="Times New Roman"/>
          <w:color w:val="000000" w:themeColor="text1"/>
          <w:sz w:val="28"/>
          <w:szCs w:val="28"/>
        </w:rPr>
        <w:t>53</w:t>
      </w:r>
      <w:r w:rsidR="002B30E8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2B30E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2B30E8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="007F70D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7F70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треть</w:t>
      </w:r>
      <w:r w:rsidR="007F70D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F70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</w:t>
      </w:r>
      <w:r w:rsidR="002A166C">
        <w:rPr>
          <w:rFonts w:ascii="Times New Roman" w:hAnsi="Times New Roman" w:cs="Times New Roman"/>
          <w:color w:val="000000" w:themeColor="text1"/>
          <w:sz w:val="28"/>
          <w:szCs w:val="28"/>
        </w:rPr>
        <w:t>кварталом</w:t>
      </w:r>
      <w:r w:rsidR="002B30E8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прошлого года </w:t>
      </w:r>
      <w:r w:rsidR="002735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2B30E8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7F70D0">
        <w:rPr>
          <w:rFonts w:ascii="Times New Roman" w:hAnsi="Times New Roman" w:cs="Times New Roman"/>
          <w:color w:val="000000" w:themeColor="text1"/>
          <w:sz w:val="28"/>
          <w:szCs w:val="28"/>
        </w:rPr>
        <w:t>51</w:t>
      </w:r>
      <w:r w:rsidR="002B30E8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(на </w:t>
      </w:r>
      <w:r w:rsidR="007F70D0">
        <w:rPr>
          <w:rFonts w:ascii="Times New Roman" w:hAnsi="Times New Roman" w:cs="Times New Roman"/>
          <w:color w:val="000000" w:themeColor="text1"/>
          <w:sz w:val="28"/>
          <w:szCs w:val="28"/>
        </w:rPr>
        <w:t>464</w:t>
      </w:r>
      <w:r w:rsidR="002B30E8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обращения).</w:t>
      </w:r>
    </w:p>
    <w:p w:rsidR="00B7375C" w:rsidRPr="003B6234" w:rsidRDefault="00D078D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2F101F" w:rsidRPr="002B30E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7F70D0" w:rsidRPr="007F70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70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третьем </w:t>
      </w:r>
      <w:r w:rsidR="002B30E8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</w:t>
      </w:r>
      <w:r w:rsidR="002B30E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B30E8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30E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года было зарегистрировано </w:t>
      </w:r>
      <w:r w:rsidR="007F70D0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359</w:t>
      </w:r>
      <w:r w:rsidR="002F101F" w:rsidRPr="002B30E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заявлени</w:t>
      </w:r>
      <w:r w:rsidR="0027351D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й</w:t>
      </w:r>
      <w:r w:rsidR="007F70D0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. Во втором </w:t>
      </w:r>
      <w:r w:rsidR="002B30E8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</w:t>
      </w:r>
      <w:r w:rsidR="0027351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B30E8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2B30E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было </w:t>
      </w:r>
      <w:r w:rsidR="007F70D0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439</w:t>
      </w:r>
      <w:r w:rsidRPr="002B30E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заявлени</w:t>
      </w:r>
      <w:r w:rsidR="007F70D0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й</w:t>
      </w:r>
      <w:r w:rsidRPr="002B30E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, </w:t>
      </w:r>
      <w:r w:rsidR="007F70D0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7F70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третьем </w:t>
      </w:r>
      <w:r w:rsidRPr="002B30E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квартале 202</w:t>
      </w:r>
      <w:r w:rsidR="002B30E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4</w:t>
      </w:r>
      <w:r w:rsidRPr="002B30E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года</w:t>
      </w:r>
      <w:r w:rsidR="00555954" w:rsidRPr="002B30E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Pr="002B30E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-</w:t>
      </w:r>
      <w:r w:rsidR="00555954" w:rsidRPr="002B30E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7F70D0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774</w:t>
      </w:r>
      <w:r w:rsidRPr="002B30E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заявлени</w:t>
      </w:r>
      <w:r w:rsidR="007F70D0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я</w:t>
      </w:r>
      <w:r w:rsidRPr="002B30E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. Количество заявлений в данном квартале </w:t>
      </w:r>
      <w:r w:rsidR="006162CD" w:rsidRPr="002B30E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уменьшилось</w:t>
      </w:r>
      <w:r w:rsidR="0027351D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Pr="002B30E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в сравнении с</w:t>
      </w:r>
      <w:r w:rsidR="00224FE1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о</w:t>
      </w:r>
      <w:r w:rsidRPr="002B30E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224FE1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вторым</w:t>
      </w:r>
      <w:r w:rsidR="002B30E8" w:rsidRPr="006657B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2B30E8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>квартал</w:t>
      </w:r>
      <w:r w:rsidR="002B30E8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2B30E8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2735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</w:t>
      </w:r>
      <w:r w:rsidR="002B3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 w:rsidR="00AE0242" w:rsidRPr="002B30E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на </w:t>
      </w:r>
      <w:r w:rsidR="00224FE1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18</w:t>
      </w:r>
      <w:r w:rsidRPr="002B30E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% (на </w:t>
      </w:r>
      <w:r w:rsidR="00224FE1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80</w:t>
      </w:r>
      <w:r w:rsidRPr="002B30E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заявлени</w:t>
      </w:r>
      <w:r w:rsidR="00224FE1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й</w:t>
      </w:r>
      <w:r w:rsidRPr="002B30E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), </w:t>
      </w:r>
      <w:r w:rsidR="00224FE1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в сравнении </w:t>
      </w:r>
      <w:r w:rsidR="00224FE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24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треть</w:t>
      </w:r>
      <w:r w:rsidR="00224FE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24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</w:t>
      </w:r>
      <w:r w:rsidR="002B30E8" w:rsidRPr="006657B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кварталом</w:t>
      </w:r>
      <w:r w:rsidR="002B30E8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прошлого года </w:t>
      </w:r>
      <w:r w:rsidR="00224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2B30E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на </w:t>
      </w:r>
      <w:r w:rsidR="00224FE1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54</w:t>
      </w:r>
      <w:r w:rsidRPr="002B30E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%</w:t>
      </w:r>
      <w:r w:rsidR="00DD62AB" w:rsidRPr="002B30E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Pr="002B30E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(на </w:t>
      </w:r>
      <w:r w:rsidR="00224FE1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415</w:t>
      </w:r>
      <w:r w:rsidRPr="002B30E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заявлени</w:t>
      </w:r>
      <w:r w:rsidR="00224FE1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й</w:t>
      </w:r>
      <w:r w:rsidRPr="002B30E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).</w:t>
      </w:r>
    </w:p>
    <w:p w:rsidR="00B7375C" w:rsidRPr="003B6234" w:rsidRDefault="00D078DA">
      <w:pPr>
        <w:tabs>
          <w:tab w:val="left" w:pos="8760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6234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</w:t>
      </w:r>
      <w:r w:rsidR="00224FE1" w:rsidRPr="00224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4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третьем </w:t>
      </w:r>
      <w:r w:rsidR="00224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783AA7">
        <w:rPr>
          <w:rFonts w:ascii="Times New Roman" w:hAnsi="Times New Roman" w:cs="Times New Roman"/>
          <w:color w:val="000000" w:themeColor="text1"/>
          <w:sz w:val="28"/>
          <w:szCs w:val="28"/>
        </w:rPr>
        <w:t>втором</w:t>
      </w:r>
      <w:r w:rsidR="002B30E8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квартал</w:t>
      </w:r>
      <w:r w:rsidR="00783AA7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="002B3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4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текущего года 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устных обращени</w:t>
      </w:r>
      <w:r w:rsidR="002B30E8">
        <w:rPr>
          <w:rFonts w:ascii="Times New Roman" w:hAnsi="Times New Roman" w:cs="Times New Roman"/>
          <w:color w:val="000000" w:themeColor="text1"/>
          <w:sz w:val="28"/>
          <w:szCs w:val="28"/>
        </w:rPr>
        <w:t>й не поступало</w:t>
      </w:r>
      <w:r w:rsidR="004A0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24FE1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24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третьем </w:t>
      </w:r>
      <w:r w:rsidR="002B30E8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квартале</w:t>
      </w:r>
      <w:r w:rsidR="002B3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прошло</w:t>
      </w:r>
      <w:r w:rsidR="002B30E8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2B30E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поступило </w:t>
      </w:r>
      <w:r w:rsidR="00224FE1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устных обращени</w:t>
      </w:r>
      <w:r w:rsidR="00224FE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7375C" w:rsidRDefault="00D078D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</w:t>
      </w:r>
      <w:r w:rsidR="002F101F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224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третьем 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текущего года на личн</w:t>
      </w:r>
      <w:r w:rsidR="00F00D07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ом приеме у министра был принят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4FE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гражданин</w:t>
      </w:r>
      <w:r w:rsidR="00224FE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4FE1">
        <w:rPr>
          <w:rFonts w:ascii="Times New Roman" w:hAnsi="Times New Roman" w:cs="Times New Roman"/>
          <w:color w:val="000000" w:themeColor="text1"/>
          <w:sz w:val="28"/>
          <w:szCs w:val="28"/>
        </w:rPr>
        <w:t>во втором</w:t>
      </w:r>
      <w:r w:rsidR="00D15C04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</w:t>
      </w:r>
      <w:r w:rsidR="00D15C0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224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224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третьем квартале прошлого года 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на личный прием к министру обратил</w:t>
      </w:r>
      <w:r w:rsidR="004A0BDF">
        <w:rPr>
          <w:rFonts w:ascii="Times New Roman" w:hAnsi="Times New Roman" w:cs="Times New Roman"/>
          <w:color w:val="000000" w:themeColor="text1"/>
          <w:sz w:val="28"/>
          <w:szCs w:val="28"/>
        </w:rPr>
        <w:t>ось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4FE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гражданин</w:t>
      </w:r>
      <w:r w:rsidR="004A0BD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24F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24FE1" w:rsidRPr="003B6234" w:rsidRDefault="00224FE1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375C" w:rsidRPr="003B6234" w:rsidRDefault="00D078D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6234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837065" cy="3524613"/>
            <wp:effectExtent l="0" t="0" r="1905" b="0"/>
            <wp:docPr id="3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7375C" w:rsidRPr="003B6234" w:rsidRDefault="00D078DA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6234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24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224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третьем 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</w:t>
      </w:r>
      <w:r w:rsidR="00B3760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по электронной почте проступ</w:t>
      </w:r>
      <w:r w:rsidR="00E7763A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ло</w:t>
      </w:r>
      <w:r w:rsidR="00E7763A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4FE1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E7763A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224FE1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24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втором </w:t>
      </w:r>
      <w:r w:rsidR="00B37603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</w:t>
      </w:r>
      <w:r w:rsidR="00D15C0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37603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E7763A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поступило </w:t>
      </w:r>
      <w:r w:rsidR="00224FE1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E7763A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D15C0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E7763A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4FE1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24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третьем 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прошлого го</w:t>
      </w:r>
      <w:r w:rsidR="00E7763A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 поступило </w:t>
      </w:r>
      <w:r w:rsidR="00224FE1">
        <w:rPr>
          <w:rFonts w:ascii="Times New Roman" w:hAnsi="Times New Roman" w:cs="Times New Roman"/>
          <w:color w:val="000000" w:themeColor="text1"/>
          <w:sz w:val="28"/>
          <w:szCs w:val="28"/>
        </w:rPr>
        <w:t>36</w:t>
      </w:r>
      <w:r w:rsidR="00E7763A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224FE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7375C" w:rsidRPr="003B6234" w:rsidRDefault="00D078DA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6234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    </w:t>
      </w:r>
      <w:r w:rsidR="000722B9">
        <w:rPr>
          <w:rFonts w:ascii="Times New Roman" w:hAnsi="Times New Roman" w:cs="Times New Roman"/>
          <w:color w:val="000000" w:themeColor="text1"/>
          <w:sz w:val="28"/>
          <w:szCs w:val="28"/>
        </w:rPr>
        <w:t>В третьем</w:t>
      </w:r>
      <w:r w:rsidR="00B37603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квартале 202</w:t>
      </w:r>
      <w:r w:rsidR="00B3760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37603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поступило </w:t>
      </w:r>
      <w:r w:rsidR="000722B9">
        <w:rPr>
          <w:rFonts w:ascii="Times New Roman" w:hAnsi="Times New Roman" w:cs="Times New Roman"/>
          <w:color w:val="000000" w:themeColor="text1"/>
          <w:sz w:val="28"/>
          <w:szCs w:val="28"/>
        </w:rPr>
        <w:t>70</w:t>
      </w:r>
      <w:r w:rsidR="002F101F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жалоб, </w:t>
      </w:r>
      <w:r w:rsidR="000722B9">
        <w:rPr>
          <w:rFonts w:ascii="Times New Roman" w:hAnsi="Times New Roman" w:cs="Times New Roman"/>
          <w:color w:val="000000" w:themeColor="text1"/>
          <w:sz w:val="28"/>
          <w:szCs w:val="28"/>
        </w:rPr>
        <w:t>во втором</w:t>
      </w:r>
      <w:r w:rsidR="00B37603" w:rsidRPr="006657B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B37603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</w:t>
      </w:r>
      <w:r w:rsidR="00D15C0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37603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поступило</w:t>
      </w:r>
      <w:r w:rsidR="00E7763A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22B9">
        <w:rPr>
          <w:rFonts w:ascii="Times New Roman" w:hAnsi="Times New Roman" w:cs="Times New Roman"/>
          <w:color w:val="000000" w:themeColor="text1"/>
          <w:sz w:val="28"/>
          <w:szCs w:val="28"/>
        </w:rPr>
        <w:t>36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жалоб, </w:t>
      </w:r>
      <w:r w:rsidR="000722B9">
        <w:rPr>
          <w:rFonts w:ascii="Times New Roman" w:hAnsi="Times New Roman" w:cs="Times New Roman"/>
          <w:color w:val="000000" w:themeColor="text1"/>
          <w:sz w:val="28"/>
          <w:szCs w:val="28"/>
        </w:rPr>
        <w:t>в третьем</w:t>
      </w:r>
      <w:r w:rsidR="00D15C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7603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</w:t>
      </w:r>
      <w:r w:rsidR="00B376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</w:t>
      </w:r>
      <w:r w:rsidR="00B37603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поступило </w:t>
      </w:r>
      <w:r w:rsidR="000722B9">
        <w:rPr>
          <w:rFonts w:ascii="Times New Roman" w:hAnsi="Times New Roman" w:cs="Times New Roman"/>
          <w:color w:val="000000" w:themeColor="text1"/>
          <w:sz w:val="28"/>
          <w:szCs w:val="28"/>
        </w:rPr>
        <w:t>92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жалоб</w:t>
      </w:r>
      <w:r w:rsidR="000722B9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. Данная статистика показыва</w:t>
      </w:r>
      <w:r w:rsidR="003070AD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ет, что в сравнении с</w:t>
      </w:r>
      <w:r w:rsidR="00DA0C7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070AD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0C7C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вторым</w:t>
      </w:r>
      <w:r w:rsidR="00B37603" w:rsidRPr="006657B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B37603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квартал</w:t>
      </w:r>
      <w:r w:rsidR="00B37603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B37603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D15C0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37603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737954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жалоб </w:t>
      </w:r>
      <w:r w:rsidR="00DA0C7C">
        <w:rPr>
          <w:rFonts w:ascii="Times New Roman" w:hAnsi="Times New Roman" w:cs="Times New Roman"/>
          <w:color w:val="000000" w:themeColor="text1"/>
          <w:sz w:val="28"/>
          <w:szCs w:val="28"/>
        </w:rPr>
        <w:t>увеличилось</w:t>
      </w:r>
      <w:r w:rsidR="003070AD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DA0C7C">
        <w:rPr>
          <w:rFonts w:ascii="Times New Roman" w:hAnsi="Times New Roman" w:cs="Times New Roman"/>
          <w:color w:val="000000" w:themeColor="text1"/>
          <w:sz w:val="28"/>
          <w:szCs w:val="28"/>
        </w:rPr>
        <w:t>94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(на </w:t>
      </w:r>
      <w:r w:rsidR="00DA0C7C">
        <w:rPr>
          <w:rFonts w:ascii="Times New Roman" w:hAnsi="Times New Roman" w:cs="Times New Roman"/>
          <w:color w:val="000000" w:themeColor="text1"/>
          <w:sz w:val="28"/>
          <w:szCs w:val="28"/>
        </w:rPr>
        <w:t>34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жалоб</w:t>
      </w:r>
      <w:r w:rsidR="00D15C04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="003070AD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сравнении </w:t>
      </w:r>
      <w:r w:rsidR="00DA0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DA0C7C">
        <w:rPr>
          <w:rFonts w:ascii="Times New Roman" w:hAnsi="Times New Roman" w:cs="Times New Roman"/>
          <w:color w:val="000000" w:themeColor="text1"/>
          <w:sz w:val="28"/>
          <w:szCs w:val="28"/>
        </w:rPr>
        <w:t>треть</w:t>
      </w:r>
      <w:r w:rsidR="00DA0C7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A0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</w:t>
      </w:r>
      <w:r w:rsidR="003070AD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кварталом прошлого года </w:t>
      </w:r>
      <w:r w:rsidR="00DA0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уменьшилось 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DA0C7C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(на </w:t>
      </w:r>
      <w:r w:rsidR="00DA0C7C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жалоб</w:t>
      </w:r>
      <w:r w:rsidR="00DA0C7C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B7375C" w:rsidRPr="003B6234" w:rsidRDefault="00D078D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6234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     </w:t>
      </w:r>
      <w:r w:rsidR="00D15C04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DA0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0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третьем </w:t>
      </w:r>
      <w:r w:rsidR="00C351A2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</w:t>
      </w:r>
      <w:r w:rsidR="00C351A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351A2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поступил</w:t>
      </w:r>
      <w:r w:rsidR="00DA0C7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0C7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запрос</w:t>
      </w:r>
      <w:r w:rsidR="00DA0C7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A1E5F">
        <w:rPr>
          <w:rFonts w:ascii="Times New Roman" w:hAnsi="Times New Roman" w:cs="Times New Roman"/>
          <w:color w:val="000000" w:themeColor="text1"/>
          <w:sz w:val="28"/>
          <w:szCs w:val="28"/>
        </w:rPr>
        <w:t>, в</w:t>
      </w:r>
      <w:r w:rsidR="00DA0C7C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о втором</w:t>
      </w:r>
      <w:r w:rsidR="00C351A2" w:rsidRPr="006657B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C351A2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</w:t>
      </w:r>
      <w:r w:rsidR="00D15C0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351A2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поступил </w:t>
      </w:r>
      <w:r w:rsidR="00DA0C7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запрос, а </w:t>
      </w:r>
      <w:r w:rsidR="00DA0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третьем 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</w:t>
      </w:r>
      <w:r w:rsidR="00C351A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запро</w:t>
      </w:r>
      <w:r w:rsidR="009A1E5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DA0C7C">
        <w:rPr>
          <w:rFonts w:ascii="Times New Roman" w:hAnsi="Times New Roman" w:cs="Times New Roman"/>
          <w:color w:val="000000" w:themeColor="text1"/>
          <w:sz w:val="28"/>
          <w:szCs w:val="28"/>
        </w:rPr>
        <w:t>ы не поступали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    </w:t>
      </w:r>
    </w:p>
    <w:p w:rsidR="00B7375C" w:rsidRPr="003B6234" w:rsidRDefault="009A1E5F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645279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DA0C7C" w:rsidRPr="00DA0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0C7C">
        <w:rPr>
          <w:rFonts w:ascii="Times New Roman" w:hAnsi="Times New Roman" w:cs="Times New Roman"/>
          <w:color w:val="000000" w:themeColor="text1"/>
          <w:sz w:val="28"/>
          <w:szCs w:val="28"/>
        </w:rPr>
        <w:t>третьем</w:t>
      </w:r>
      <w:r w:rsidR="00DA0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DA0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0C7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45279">
        <w:rPr>
          <w:rFonts w:ascii="Times New Roman" w:hAnsi="Times New Roman" w:cs="Times New Roman"/>
          <w:color w:val="000000" w:themeColor="text1"/>
          <w:sz w:val="28"/>
          <w:szCs w:val="28"/>
        </w:rPr>
        <w:t>тором</w:t>
      </w:r>
      <w:r w:rsidR="00645279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51A2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</w:t>
      </w:r>
      <w:r w:rsidR="00C351A2">
        <w:rPr>
          <w:rFonts w:ascii="Times New Roman" w:hAnsi="Times New Roman" w:cs="Times New Roman"/>
          <w:color w:val="000000" w:themeColor="text1"/>
          <w:sz w:val="28"/>
          <w:szCs w:val="28"/>
        </w:rPr>
        <w:t>5 года</w:t>
      </w:r>
      <w:r w:rsidR="006452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DA0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третьем </w:t>
      </w:r>
      <w:r w:rsidR="00D078DA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</w:t>
      </w:r>
      <w:r w:rsidR="004D1F0D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53093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78DA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года по смс-с</w:t>
      </w:r>
      <w:r w:rsidR="00FF794E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ообщению обращений не поступало</w:t>
      </w:r>
      <w:r w:rsidR="00D078DA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FF794E" w:rsidRPr="003B6234" w:rsidRDefault="00645279" w:rsidP="00FF794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DA0C7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0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третьем </w:t>
      </w:r>
      <w:r w:rsidR="00C351A2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</w:t>
      </w:r>
      <w:r w:rsidR="00C351A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351A2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FF794E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поступило </w:t>
      </w:r>
      <w:r w:rsidR="00DA0C7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F794E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</w:t>
      </w:r>
      <w:r w:rsidR="00DA0C7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9A1E5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35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DA0C7C">
        <w:rPr>
          <w:rFonts w:ascii="Times New Roman" w:hAnsi="Times New Roman" w:cs="Times New Roman"/>
          <w:color w:val="000000" w:themeColor="text1"/>
          <w:sz w:val="28"/>
          <w:szCs w:val="28"/>
        </w:rPr>
        <w:t>о втором</w:t>
      </w:r>
      <w:r w:rsidR="00C351A2" w:rsidRPr="006657B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C351A2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351A2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FF794E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поступило </w:t>
      </w:r>
      <w:r w:rsidR="00DA0C7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F794E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предложений, а </w:t>
      </w:r>
      <w:r w:rsidR="00DA0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третьем </w:t>
      </w:r>
      <w:r w:rsidR="00C351A2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</w:t>
      </w:r>
      <w:r w:rsidR="00C351A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351A2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FF794E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поступило </w:t>
      </w:r>
      <w:r w:rsidR="00DA0C7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FF794E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FF794E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    </w:t>
      </w:r>
    </w:p>
    <w:p w:rsidR="00B7375C" w:rsidRPr="003B6234" w:rsidRDefault="00B7375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375C" w:rsidRPr="003B6234" w:rsidRDefault="00D078D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</w:t>
      </w:r>
      <w:bookmarkStart w:id="0" w:name="_GoBack"/>
      <w:r w:rsidRPr="003B6234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857999" cy="3924299"/>
            <wp:effectExtent l="0" t="0" r="635" b="635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bookmarkEnd w:id="0"/>
    </w:p>
    <w:p w:rsidR="00B7375C" w:rsidRPr="003B6234" w:rsidRDefault="00B7375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375C" w:rsidRPr="003B6234" w:rsidRDefault="00B7375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375C" w:rsidRPr="003B6234" w:rsidRDefault="00D078D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3B6234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направлены ответы заявителям 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в электронном виде, в письменной и устной форме даны разъяснения и рекомендации.</w:t>
      </w:r>
    </w:p>
    <w:p w:rsidR="00B7375C" w:rsidRPr="003B6234" w:rsidRDefault="00D078D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Все обращения рассмотрены в соответствии с Федеральным законом от 02.05.2006 № 59-ФЗ «О порядке рассмотрения обращений граждан Российской Федерации», Регламентом министерства, Инструкцией по организации работы с обращениями граждан и проведению личного приема граждан в министерстве транспорта и дорожного хозяйства Новосибирской области», утвержденной приказом министерства от 12.04.2017 № 60.</w:t>
      </w:r>
    </w:p>
    <w:p w:rsidR="00B7375C" w:rsidRPr="003B6234" w:rsidRDefault="00D078D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234">
        <w:rPr>
          <w:rFonts w:ascii="Times New Roman" w:hAnsi="Times New Roman" w:cs="Times New Roman"/>
          <w:sz w:val="28"/>
          <w:szCs w:val="28"/>
        </w:rPr>
        <w:t xml:space="preserve">       Заявителям даны письменные ответы в установленные действующим законодательством сроки.</w:t>
      </w:r>
    </w:p>
    <w:p w:rsidR="00B7375C" w:rsidRDefault="00D078DA">
      <w:pPr>
        <w:spacing w:line="276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B6234">
        <w:rPr>
          <w:rFonts w:ascii="Times New Roman" w:eastAsia="Times New Roman" w:hAnsi="Times New Roman"/>
          <w:sz w:val="28"/>
          <w:szCs w:val="28"/>
          <w:lang w:eastAsia="ru-RU"/>
        </w:rPr>
        <w:t xml:space="preserve">     Организация работы с обращениями граждан в министерстве транспорта и дорожного хозяйства Нов</w:t>
      </w:r>
      <w:r w:rsidR="00955E6B">
        <w:rPr>
          <w:rFonts w:ascii="Times New Roman" w:eastAsia="Times New Roman" w:hAnsi="Times New Roman"/>
          <w:sz w:val="28"/>
          <w:szCs w:val="28"/>
          <w:lang w:eastAsia="ru-RU"/>
        </w:rPr>
        <w:t xml:space="preserve">осибирской области позволила </w:t>
      </w:r>
      <w:r w:rsidR="00DA0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третьем </w:t>
      </w:r>
      <w:r w:rsidRPr="003B6234">
        <w:rPr>
          <w:rFonts w:ascii="Times New Roman" w:eastAsia="Times New Roman" w:hAnsi="Times New Roman"/>
          <w:sz w:val="28"/>
          <w:szCs w:val="28"/>
          <w:lang w:eastAsia="ru-RU"/>
        </w:rPr>
        <w:t>квартале 202</w:t>
      </w:r>
      <w:r w:rsidR="00B3760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B623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обеспечить своевременное, объективное и всестороннее рассмотрение обращений граждан, своевременно принимать меры, направленные на восстановление или защиту нарушенных прав, свобод и законных интересов граждан.</w:t>
      </w:r>
    </w:p>
    <w:sectPr w:rsidR="00B7375C">
      <w:type w:val="continuous"/>
      <w:pgSz w:w="11906" w:h="16838"/>
      <w:pgMar w:top="709" w:right="993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5BB" w:rsidRDefault="00D725BB">
      <w:r>
        <w:separator/>
      </w:r>
    </w:p>
  </w:endnote>
  <w:endnote w:type="continuationSeparator" w:id="0">
    <w:p w:rsidR="00D725BB" w:rsidRDefault="00D72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5BB" w:rsidRDefault="00D725BB">
      <w:r>
        <w:separator/>
      </w:r>
    </w:p>
  </w:footnote>
  <w:footnote w:type="continuationSeparator" w:id="0">
    <w:p w:rsidR="00D725BB" w:rsidRDefault="00D72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17C86"/>
    <w:multiLevelType w:val="hybridMultilevel"/>
    <w:tmpl w:val="F3AA75CA"/>
    <w:lvl w:ilvl="0" w:tplc="2D241C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956263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7A4761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9E6642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908CA0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A883EB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5D8D40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1AE740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6B84DB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C8A6DDD"/>
    <w:multiLevelType w:val="hybridMultilevel"/>
    <w:tmpl w:val="EFFEA766"/>
    <w:lvl w:ilvl="0" w:tplc="918404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A42BF7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1B0FD1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FB6160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DD8725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86EA1D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CD62F9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3FE85B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5C6D0E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75C"/>
    <w:rsid w:val="00021022"/>
    <w:rsid w:val="00064AA9"/>
    <w:rsid w:val="000722B9"/>
    <w:rsid w:val="000F47B0"/>
    <w:rsid w:val="00100BD5"/>
    <w:rsid w:val="00137ECF"/>
    <w:rsid w:val="00153093"/>
    <w:rsid w:val="001576AA"/>
    <w:rsid w:val="00161CA8"/>
    <w:rsid w:val="001C1FF3"/>
    <w:rsid w:val="00224FE1"/>
    <w:rsid w:val="00245CA9"/>
    <w:rsid w:val="0027351D"/>
    <w:rsid w:val="0028656A"/>
    <w:rsid w:val="002A166C"/>
    <w:rsid w:val="002B161A"/>
    <w:rsid w:val="002B30E8"/>
    <w:rsid w:val="002F101F"/>
    <w:rsid w:val="003070AD"/>
    <w:rsid w:val="00375336"/>
    <w:rsid w:val="00393C4E"/>
    <w:rsid w:val="003B6234"/>
    <w:rsid w:val="003C1690"/>
    <w:rsid w:val="003E7EBC"/>
    <w:rsid w:val="0046100A"/>
    <w:rsid w:val="004A0BDF"/>
    <w:rsid w:val="004C0069"/>
    <w:rsid w:val="004D1CE7"/>
    <w:rsid w:val="004D1F0D"/>
    <w:rsid w:val="00532C28"/>
    <w:rsid w:val="00555954"/>
    <w:rsid w:val="005951B1"/>
    <w:rsid w:val="006162CD"/>
    <w:rsid w:val="00645279"/>
    <w:rsid w:val="006657B5"/>
    <w:rsid w:val="006D468F"/>
    <w:rsid w:val="00722461"/>
    <w:rsid w:val="007259F6"/>
    <w:rsid w:val="00737954"/>
    <w:rsid w:val="00773C30"/>
    <w:rsid w:val="00783AA7"/>
    <w:rsid w:val="007F70D0"/>
    <w:rsid w:val="0081239F"/>
    <w:rsid w:val="00833AB3"/>
    <w:rsid w:val="008D64AB"/>
    <w:rsid w:val="00941CD8"/>
    <w:rsid w:val="00955E6B"/>
    <w:rsid w:val="00976886"/>
    <w:rsid w:val="009A1E5F"/>
    <w:rsid w:val="009A38D9"/>
    <w:rsid w:val="00A63067"/>
    <w:rsid w:val="00AE0242"/>
    <w:rsid w:val="00AF5F72"/>
    <w:rsid w:val="00B37603"/>
    <w:rsid w:val="00B61AC7"/>
    <w:rsid w:val="00B7375C"/>
    <w:rsid w:val="00B92543"/>
    <w:rsid w:val="00C351A2"/>
    <w:rsid w:val="00C415FF"/>
    <w:rsid w:val="00C57648"/>
    <w:rsid w:val="00C95CC0"/>
    <w:rsid w:val="00CB3446"/>
    <w:rsid w:val="00D078DA"/>
    <w:rsid w:val="00D15C04"/>
    <w:rsid w:val="00D274FB"/>
    <w:rsid w:val="00D34EAC"/>
    <w:rsid w:val="00D45048"/>
    <w:rsid w:val="00D725BB"/>
    <w:rsid w:val="00DA0C7C"/>
    <w:rsid w:val="00DD62AB"/>
    <w:rsid w:val="00E63A10"/>
    <w:rsid w:val="00E7763A"/>
    <w:rsid w:val="00EB175A"/>
    <w:rsid w:val="00F00D07"/>
    <w:rsid w:val="00F30560"/>
    <w:rsid w:val="00F83499"/>
    <w:rsid w:val="00F854D4"/>
    <w:rsid w:val="00F90115"/>
    <w:rsid w:val="00FF2061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9CFD"/>
  <w15:docId w15:val="{06EA537F-D4E1-47DF-A81F-5CADDD3D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styleId="af5">
    <w:name w:val="Strong"/>
    <w:basedOn w:val="a0"/>
    <w:uiPriority w:val="22"/>
    <w:qFormat/>
    <w:rPr>
      <w:rFonts w:cs="Times New Roman"/>
      <w:b/>
    </w:rPr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Calibri" w:hAnsi="Calibri" w:cs="Calibri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Calibri" w:hAnsi="Calibri" w:cs="Calibri"/>
    </w:rPr>
  </w:style>
  <w:style w:type="paragraph" w:styleId="afd">
    <w:name w:val="Revision"/>
    <w:hidden/>
    <w:uiPriority w:val="99"/>
    <w:semiHidden/>
    <w:rsid w:val="00737954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Динамика поступивших обращений в Минтранс НСО в</a:t>
            </a:r>
            <a:r>
              <a:rPr lang="ru-RU" sz="1200" baseline="0"/>
              <a:t> третьем </a:t>
            </a:r>
            <a:r>
              <a:rPr lang="ru-RU" sz="1200"/>
              <a:t>квартале 2025 года в сравнении с</a:t>
            </a:r>
            <a:r>
              <a:rPr lang="ru-RU" sz="1200" baseline="0"/>
              <a:t>о вторым </a:t>
            </a:r>
            <a:r>
              <a:rPr lang="ru-RU" sz="1200"/>
              <a:t>кварталом 2025 года  </a:t>
            </a:r>
            <a:endParaRPr lang="ru-RU"/>
          </a:p>
          <a:p>
            <a:pPr>
              <a:defRPr/>
            </a:pPr>
            <a:r>
              <a:rPr lang="ru-RU" sz="1200"/>
              <a:t>и третьим кварталом 2024 года  </a:t>
            </a:r>
            <a:endParaRPr lang="ru-RU"/>
          </a:p>
        </c:rich>
      </c:tx>
      <c:layout>
        <c:manualLayout>
          <c:xMode val="edge"/>
          <c:yMode val="edge"/>
          <c:x val="0.12651000000000001"/>
          <c:y val="3.7019999999999997E-2"/>
        </c:manualLayout>
      </c:layout>
      <c:overlay val="0"/>
    </c:title>
    <c:autoTitleDeleted val="0"/>
    <c:view3D>
      <c:rotX val="30"/>
      <c:rotY val="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поступивших обращений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Ref>
              <c:f>Лист1!$A$2:$A$5</c:f>
              <c:strCache>
                <c:ptCount val="4"/>
                <c:pt idx="1">
                  <c:v>3 квартал 2025 года</c:v>
                </c:pt>
                <c:pt idx="2">
                  <c:v>2 квартал 2025 года</c:v>
                </c:pt>
                <c:pt idx="3">
                  <c:v>3 квартал 2024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447</c:v>
                </c:pt>
                <c:pt idx="2">
                  <c:v>502</c:v>
                </c:pt>
                <c:pt idx="3">
                  <c:v>920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06-432C-85D6-4AE595CF7DC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t"/>
      <c:legendEntry>
        <c:idx val="0"/>
        <c:delete val="1"/>
      </c:legendEntry>
      <c:layout>
        <c:manualLayout>
          <c:xMode val="edge"/>
          <c:yMode val="edge"/>
          <c:x val="0.12854927458766163"/>
          <c:y val="0.31182226924094159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Динамика обращений поступивших в адрес Минтранса НСО в третьем</a:t>
            </a:r>
            <a:r>
              <a:rPr lang="ru-RU" sz="1200" baseline="0"/>
              <a:t> </a:t>
            </a:r>
            <a:r>
              <a:rPr lang="ru-RU" sz="1200"/>
              <a:t>квартале 2025 года, в сравнении со вторым кварталом  2025 года и третьим кварталом 2024 года</a:t>
            </a:r>
          </a:p>
        </c:rich>
      </c:tx>
      <c:layout>
        <c:manualLayout>
          <c:xMode val="edge"/>
          <c:yMode val="edge"/>
          <c:x val="0.13428999999999999"/>
          <c:y val="1.7250000000000001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 квартал 2025 год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1">
                  <c:v>общественная приемная</c:v>
                </c:pt>
                <c:pt idx="2">
                  <c:v>непосредственно в министерство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146</c:v>
                </c:pt>
                <c:pt idx="2">
                  <c:v>301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01-45F2-8DB7-C7749882AD7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квартал 2025 год2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1">
                  <c:v>общественная приемная</c:v>
                </c:pt>
                <c:pt idx="2">
                  <c:v>непосредственно в министерство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214</c:v>
                </c:pt>
                <c:pt idx="2">
                  <c:v>288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901-45F2-8DB7-C7749882AD7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квартал 2024 год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1">
                  <c:v>общественная приемная</c:v>
                </c:pt>
                <c:pt idx="2">
                  <c:v>непосредственно в министерство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1">
                  <c:v>281</c:v>
                </c:pt>
                <c:pt idx="2">
                  <c:v>639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901-45F2-8DB7-C7749882AD79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1">
                  <c:v>общественная приемная</c:v>
                </c:pt>
                <c:pt idx="2">
                  <c:v>непосредственно в министерство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3-0901-45F2-8DB7-C7749882AD7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cylinder"/>
        <c:axId val="73373184"/>
        <c:axId val="73374720"/>
        <c:axId val="0"/>
      </c:bar3DChart>
      <c:catAx>
        <c:axId val="73373184"/>
        <c:scaling>
          <c:orientation val="minMax"/>
        </c:scaling>
        <c:delete val="0"/>
        <c:axPos val="l"/>
        <c:majorGridlines/>
        <c:minorGridlines/>
        <c:numFmt formatCode="General" sourceLinked="0"/>
        <c:majorTickMark val="none"/>
        <c:minorTickMark val="none"/>
        <c:tickLblPos val="nextTo"/>
        <c:crossAx val="73374720"/>
        <c:crosses val="autoZero"/>
        <c:auto val="1"/>
        <c:lblAlgn val="ctr"/>
        <c:lblOffset val="100"/>
        <c:noMultiLvlLbl val="0"/>
      </c:catAx>
      <c:valAx>
        <c:axId val="73374720"/>
        <c:scaling>
          <c:orientation val="minMax"/>
        </c:scaling>
        <c:delete val="1"/>
        <c:axPos val="b"/>
        <c:majorGridlines/>
        <c:minorGridlines/>
        <c:numFmt formatCode="General" sourceLinked="1"/>
        <c:majorTickMark val="out"/>
        <c:minorTickMark val="none"/>
        <c:tickLblPos val="none"/>
        <c:crossAx val="73373184"/>
        <c:crosses val="autoZero"/>
        <c:crossBetween val="between"/>
      </c:valAx>
      <c:spPr>
        <a:prstGeom prst="rect">
          <a:avLst/>
        </a:prstGeom>
        <a:noFill/>
        <a:ln w="25400">
          <a:noFill/>
        </a:ln>
      </c:spPr>
    </c:plotArea>
    <c:legend>
      <c:legendPos val="t"/>
      <c:legendEntry>
        <c:idx val="3"/>
        <c:delete val="1"/>
      </c:legendEntry>
      <c:overlay val="0"/>
      <c:txPr>
        <a:bodyPr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Виды поступивших обращений в</a:t>
            </a:r>
            <a:r>
              <a:rPr lang="ru-RU" sz="1200" baseline="0"/>
              <a:t> третьем </a:t>
            </a:r>
            <a:r>
              <a:rPr lang="ru-RU" sz="1200"/>
              <a:t>квартале 2025 года в сравнении с</a:t>
            </a:r>
            <a:r>
              <a:rPr lang="ru-RU" sz="1200" baseline="0"/>
              <a:t>о вторым </a:t>
            </a:r>
            <a:r>
              <a:rPr lang="ru-RU" sz="1200"/>
              <a:t>кварталом 2025 года и </a:t>
            </a:r>
          </a:p>
          <a:p>
            <a:pPr>
              <a:defRPr/>
            </a:pPr>
            <a:r>
              <a:rPr lang="ru-RU" sz="1200"/>
              <a:t> третьим кварталом 2024 года</a:t>
            </a: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124"/>
          <c:y val="2.2030000000000001E-2"/>
        </c:manualLayout>
      </c:layout>
      <c:overlay val="0"/>
      <c:spPr>
        <a:prstGeom prst="rect">
          <a:avLst/>
        </a:prstGeom>
        <a:noFill/>
        <a:ln>
          <a:noFill/>
        </a:ln>
      </c:spPr>
    </c:title>
    <c:autoTitleDeleted val="0"/>
    <c:view3D>
      <c:rotX val="15"/>
      <c:rotY val="20"/>
      <c:depthPercent val="100"/>
      <c:rAngAx val="1"/>
    </c:view3D>
    <c:floor>
      <c:thickness val="0"/>
      <c:spPr>
        <a:prstGeom prst="rect">
          <a:avLst/>
        </a:prstGeom>
        <a:noFill/>
        <a:ln>
          <a:noFill/>
        </a:ln>
      </c:spPr>
    </c:floor>
    <c:sideWall>
      <c:thickness val="0"/>
      <c:spPr>
        <a:prstGeom prst="rect">
          <a:avLst/>
        </a:prstGeom>
        <a:noFill/>
        <a:ln>
          <a:noFill/>
        </a:ln>
      </c:spPr>
    </c:sideWall>
    <c:backWall>
      <c:thickness val="0"/>
      <c:spPr>
        <a:prstGeom prst="rect">
          <a:avLst/>
        </a:prstGeom>
        <a:noFill/>
        <a:ln>
          <a:noFill/>
        </a:ln>
      </c:spPr>
    </c:backWall>
    <c:plotArea>
      <c:layout>
        <c:manualLayout>
          <c:layoutTarget val="inner"/>
          <c:xMode val="edge"/>
          <c:yMode val="edge"/>
          <c:x val="0.25616"/>
          <c:y val="0.1958"/>
          <c:w val="0.72994000000000003"/>
          <c:h val="0.5382200000000000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 квартал 2025 год</c:v>
                </c:pt>
              </c:strCache>
            </c:strRef>
          </c:tx>
          <c:spPr>
            <a:prstGeom prst="rect">
              <a:avLst/>
            </a:prstGeom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</c:spPr>
          <c:invertIfNegative val="0"/>
          <c:dLbls>
            <c:spPr>
              <a:solidFill>
                <a:schemeClr val="accent1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</c:spPr>
            <c:txPr>
              <a:bodyPr/>
              <a:lstStyle/>
              <a:p>
                <a:pPr>
                  <a:defRPr sz="900" b="1" i="0" u="none" strike="noStrike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письменные</c:v>
                </c:pt>
                <c:pt idx="1">
                  <c:v>устные</c:v>
                </c:pt>
                <c:pt idx="2">
                  <c:v>электронная почта</c:v>
                </c:pt>
                <c:pt idx="3">
                  <c:v>личный прием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446</c:v>
                </c:pt>
                <c:pt idx="1">
                  <c:v>0</c:v>
                </c:pt>
                <c:pt idx="2">
                  <c:v>23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34-4A2D-B282-83FC2AE8D2E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квартал 2025 год</c:v>
                </c:pt>
              </c:strCache>
            </c:strRef>
          </c:tx>
          <c:spPr>
            <a:prstGeom prst="rect">
              <a:avLst/>
            </a:prstGeom>
            <a:solidFill>
              <a:schemeClr val="accent2">
                <a:alpha val="88000"/>
              </a:schemeClr>
            </a:solidFill>
            <a:ln>
              <a:solidFill>
                <a:schemeClr val="accent2">
                  <a:lumMod val="50000"/>
                </a:schemeClr>
              </a:solidFill>
            </a:ln>
          </c:spPr>
          <c:invertIfNegative val="0"/>
          <c:dLbls>
            <c:spPr>
              <a:solidFill>
                <a:schemeClr val="accent2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</c:spPr>
            <c:txPr>
              <a:bodyPr/>
              <a:lstStyle/>
              <a:p>
                <a:pPr>
                  <a:defRPr sz="900" b="1" i="0" u="none" strike="noStrike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письменные</c:v>
                </c:pt>
                <c:pt idx="1">
                  <c:v>устные</c:v>
                </c:pt>
                <c:pt idx="2">
                  <c:v>электронная почта</c:v>
                </c:pt>
                <c:pt idx="3">
                  <c:v>личный прием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499</c:v>
                </c:pt>
                <c:pt idx="1">
                  <c:v>0</c:v>
                </c:pt>
                <c:pt idx="2">
                  <c:v>13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E34-4A2D-B282-83FC2AE8D2E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квартал 2024 год</c:v>
                </c:pt>
              </c:strCache>
            </c:strRef>
          </c:tx>
          <c:spPr>
            <a:prstGeom prst="rect">
              <a:avLst/>
            </a:prstGeom>
            <a:solidFill>
              <a:schemeClr val="accent3">
                <a:alpha val="88000"/>
              </a:schemeClr>
            </a:solidFill>
            <a:ln>
              <a:solidFill>
                <a:schemeClr val="accent3">
                  <a:lumMod val="50000"/>
                </a:schemeClr>
              </a:solidFill>
            </a:ln>
          </c:spPr>
          <c:invertIfNegative val="0"/>
          <c:dLbls>
            <c:spPr>
              <a:solidFill>
                <a:schemeClr val="accent3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</c:spPr>
            <c:txPr>
              <a:bodyPr/>
              <a:lstStyle/>
              <a:p>
                <a:pPr>
                  <a:defRPr sz="900" b="1" i="0" u="none" strike="noStrike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письменные</c:v>
                </c:pt>
                <c:pt idx="1">
                  <c:v>устные</c:v>
                </c:pt>
                <c:pt idx="2">
                  <c:v>электронная почта</c:v>
                </c:pt>
                <c:pt idx="3">
                  <c:v>личный прием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910</c:v>
                </c:pt>
                <c:pt idx="1">
                  <c:v>7</c:v>
                </c:pt>
                <c:pt idx="2">
                  <c:v>36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E34-4A2D-B282-83FC2AE8D2E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cone"/>
        <c:axId val="86335891"/>
        <c:axId val="86335892"/>
        <c:axId val="0"/>
      </c:bar3DChart>
      <c:catAx>
        <c:axId val="86335891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prstGeom prst="rect">
            <a:avLst/>
          </a:prstGeom>
          <a:noFill/>
          <a:ln>
            <a:noFill/>
          </a:ln>
        </c:spPr>
        <c:txPr>
          <a:bodyPr/>
          <a:lstStyle/>
          <a:p>
            <a:pPr>
              <a:defRPr sz="900">
                <a:solidFill>
                  <a:schemeClr val="lt1">
                    <a:lumMod val="7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86335892"/>
        <c:crosses val="autoZero"/>
        <c:auto val="1"/>
        <c:lblAlgn val="ctr"/>
        <c:lblOffset val="100"/>
        <c:noMultiLvlLbl val="0"/>
      </c:catAx>
      <c:valAx>
        <c:axId val="8633589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86335891"/>
        <c:crosses val="autoZero"/>
        <c:crossBetween val="between"/>
      </c:valAx>
      <c:dTable>
        <c:showHorzBorder val="1"/>
        <c:showVertBorder val="1"/>
        <c:showOutline val="1"/>
        <c:showKeys val="1"/>
        <c:spPr>
          <a:prstGeom prst="rect">
            <a:avLst/>
          </a:prstGeom>
          <a:solidFill>
            <a:schemeClr val="dk1">
              <a:lumMod val="75000"/>
              <a:lumOff val="25000"/>
            </a:schemeClr>
          </a:solidFill>
          <a:ln w="6350" cap="flat" cmpd="sng" algn="ctr">
            <a:solidFill>
              <a:schemeClr val="dk1">
                <a:tint val="75000"/>
              </a:schemeClr>
            </a:solidFill>
            <a:round/>
          </a:ln>
        </c:spPr>
        <c:txPr>
          <a:bodyPr/>
          <a:lstStyle/>
          <a:p>
            <a:pPr rtl="0">
              <a:defRPr sz="10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prstGeom prst="rect">
          <a:avLst/>
        </a:prstGeom>
        <a:noFill/>
        <a:ln>
          <a:noFill/>
        </a:ln>
      </c:spPr>
    </c:plotArea>
    <c:plotVisOnly val="1"/>
    <c:dispBlanksAs val="gap"/>
    <c:showDLblsOverMax val="0"/>
  </c:chart>
  <c:spPr>
    <a:xfrm>
      <a:off x="0" y="0"/>
      <a:ext cx="6837064" cy="3524612"/>
    </a:xfrm>
    <a:prstGeom prst="rect">
      <a:avLst/>
    </a:prstGeom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</c:spPr>
  <c:txPr>
    <a:bodyPr/>
    <a:lstStyle/>
    <a:p>
      <a:pPr>
        <a:defRPr sz="1000">
          <a:solidFill>
            <a:schemeClr val="lt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Виды обращений поступивших в адрес Минтранса НСО </a:t>
            </a:r>
            <a:r>
              <a:rPr lang="ru-RU" sz="1400" b="1" i="0" u="none" strike="noStrike" baseline="0">
                <a:effectLst/>
              </a:rPr>
              <a:t>в третьем </a:t>
            </a:r>
            <a:r>
              <a:rPr lang="ru-RU" sz="1400"/>
              <a:t>квартале 2025 года в сравнении со вторым кварталом 2025 года и с</a:t>
            </a:r>
            <a:r>
              <a:rPr lang="ru-RU" sz="1400" baseline="0"/>
              <a:t> третьим </a:t>
            </a:r>
            <a:r>
              <a:rPr lang="ru-RU" sz="1400"/>
              <a:t>кварталом 2024 года</a:t>
            </a:r>
            <a:endParaRPr lang="ru-RU" sz="1200"/>
          </a:p>
        </c:rich>
      </c:tx>
      <c:layout>
        <c:manualLayout>
          <c:xMode val="edge"/>
          <c:yMode val="edge"/>
          <c:x val="0.14036999999999999"/>
          <c:y val="4.3790000000000003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 квартал 2025 год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заявление</c:v>
                </c:pt>
                <c:pt idx="1">
                  <c:v>жалобы</c:v>
                </c:pt>
                <c:pt idx="2">
                  <c:v>предложения</c:v>
                </c:pt>
                <c:pt idx="3">
                  <c:v>запросы</c:v>
                </c:pt>
                <c:pt idx="4">
                  <c:v>смс-сообщения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359</c:v>
                </c:pt>
                <c:pt idx="1">
                  <c:v>70</c:v>
                </c:pt>
                <c:pt idx="2">
                  <c:v>3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7E-49B5-8C6A-D92E287C0D5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квартал 2025 год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заявление</c:v>
                </c:pt>
                <c:pt idx="1">
                  <c:v>жалобы</c:v>
                </c:pt>
                <c:pt idx="2">
                  <c:v>предложения</c:v>
                </c:pt>
                <c:pt idx="3">
                  <c:v>запросы</c:v>
                </c:pt>
                <c:pt idx="4">
                  <c:v>смс-сообщения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439</c:v>
                </c:pt>
                <c:pt idx="1">
                  <c:v>36</c:v>
                </c:pt>
                <c:pt idx="2">
                  <c:v>5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57E-49B5-8C6A-D92E287C0D5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квартал 2024 год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заявление</c:v>
                </c:pt>
                <c:pt idx="1">
                  <c:v>жалобы</c:v>
                </c:pt>
                <c:pt idx="2">
                  <c:v>предложения</c:v>
                </c:pt>
                <c:pt idx="3">
                  <c:v>запросы</c:v>
                </c:pt>
                <c:pt idx="4">
                  <c:v>смс-сообщения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774</c:v>
                </c:pt>
                <c:pt idx="1">
                  <c:v>92</c:v>
                </c:pt>
                <c:pt idx="2">
                  <c:v>12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57E-49B5-8C6A-D92E287C0D5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86313600"/>
        <c:axId val="86335872"/>
        <c:axId val="0"/>
      </c:bar3DChart>
      <c:catAx>
        <c:axId val="863136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86335872"/>
        <c:crosses val="autoZero"/>
        <c:auto val="1"/>
        <c:lblAlgn val="ctr"/>
        <c:lblOffset val="100"/>
        <c:noMultiLvlLbl val="0"/>
      </c:catAx>
      <c:valAx>
        <c:axId val="863358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86313600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EE146-8939-4803-AD3A-4D3012E76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Ольга Евгеньевна</dc:creator>
  <cp:keywords/>
  <dc:description/>
  <cp:lastModifiedBy>Минтранс</cp:lastModifiedBy>
  <cp:revision>4</cp:revision>
  <dcterms:created xsi:type="dcterms:W3CDTF">2025-10-01T05:24:00Z</dcterms:created>
  <dcterms:modified xsi:type="dcterms:W3CDTF">2025-10-01T06:02:00Z</dcterms:modified>
</cp:coreProperties>
</file>