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2.xml" ContentType="application/vnd.openxmlformats-officedocument.drawingml.chart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charts/chart3.xml" ContentType="application/vnd.openxmlformats-officedocument.drawingml.chart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charts/chart4.xml" ContentType="application/vnd.openxmlformats-officedocument.drawingml.chart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86"/>
        <w:shd w:val="clear" w:color="auto" w:fill="ffffff"/>
        <w:tabs>
          <w:tab w:val="left" w:pos="0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Информационно-статистический обзор обращений,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hd w:val="clear" w:color="auto" w:fill="ffffff"/>
        <w:rPr>
          <w:rFonts w:ascii="Times New Roman" w:hAnsi="Times New Roman" w:eastAsia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рассмотренных в 4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-о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м квартале 2025 года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, запросов информации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br/>
        <w:t xml:space="preserve">и обращений граждан, объединений граждан, в том числе юридических лиц, поступивших в адрес министерства транспорта и дорожного хозяйства Новосибирской области, а также результатов рассмотрения обращений и принятых мер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Рассмотрение письменных и личных обращений, устных обращений и запросов граждан, объединений граждан, в том числе юридических лиц, поступивших в адрес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министерства транспорта и дорожного хозяйства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 и министерства транспорта </w:t>
      </w:r>
      <w:r>
        <w:rPr>
          <w:rFonts w:ascii="Times New Roman" w:hAnsi="Times New Roman" w:cs="Times New Roman"/>
          <w:sz w:val="28"/>
          <w:szCs w:val="28"/>
        </w:rPr>
        <w:t xml:space="preserve">(далее – министерство)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Граждане, представители организаций и общественных объединений имеют возможность обратиться в министерство путем направления письменных обращений почтовой связью либо предоставлением их в приемную Минтранса, а такж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в форме электронного документа на официальный сайт министерства, либо на электронную почту. Личные обращения граждан рассматриваются на личных приемах, проводимых министром транспорта и дорожного хозяйства Новосибирской области либо лицом его замещающим.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line="276" w:lineRule="auto"/>
        <w:rPr>
          <w:rStyle w:val="836"/>
          <w:rFonts w:ascii="Times New Roman" w:hAnsi="Times New Roman"/>
          <w:b w:val="0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период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01.10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.2025 по 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.12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министерство транспорта и дорожного хозяйства Новосибирской области 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425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третьем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-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447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четвертом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-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782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индивидуальных и коллективных обращений, включая обращения объединений граждан, в том числе юридических лиц. Количество поступивших обращений в данном квартале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уменьшилось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в сравнении с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третьим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кварталом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202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5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года на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5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22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я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), с четвертым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кварталом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2024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года на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46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357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).</w:t>
      </w:r>
      <w:r>
        <w:rPr>
          <w:rStyle w:val="836"/>
          <w:rFonts w:ascii="Times New Roman" w:hAnsi="Times New Roman"/>
          <w:b w:val="0"/>
          <w:bCs/>
          <w:color w:val="ff0000"/>
          <w:sz w:val="28"/>
          <w:szCs w:val="28"/>
        </w:rPr>
      </w:r>
    </w:p>
    <w:p>
      <w:pPr>
        <w:jc w:val="both"/>
        <w:spacing w:line="276" w:lineRule="auto"/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</w:r>
    </w:p>
    <w:p>
      <w:pPr>
        <w:ind w:firstLine="720"/>
        <w:jc w:val="both"/>
        <w:spacing w:line="276" w:lineRule="auto"/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943634" w:themeColor="accent2" w:themeShade="BF"/>
          <w:sz w:val="28"/>
          <w:szCs w:val="28"/>
          <w:lang w:eastAsia="ru-RU"/>
        </w:rPr>
        <w:drawing>
          <wp:inline distT="0" distB="0" distL="0" distR="0">
            <wp:extent cx="6003231" cy="2401291"/>
            <wp:effectExtent l="4762" t="4762" r="4762" b="4762"/>
            <wp:docPr id="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            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bCs/>
          <w:color w:val="ff0000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709" w:right="992" w:bottom="284" w:left="567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Cs/>
          <w:color w:val="ff0000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  <w:sectPr>
          <w:footnotePr/>
          <w:endnotePr/>
          <w:type w:val="continuous"/>
          <w:pgSz w:w="11906" w:h="16838" w:orient="portrait"/>
          <w:pgMar w:top="709" w:right="993" w:bottom="284" w:left="851" w:header="708" w:footer="708" w:gutter="0"/>
          <w:cols w:num="3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jc w:val="both"/>
        <w:spacing w:line="276" w:lineRule="auto"/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122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четвертом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поступило из управления по работе с обращениями граждан - общественной приемной Губернатора области,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146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четвертом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190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Статистика показывает, что количество поступивших обращений из общественной приемной Губернатора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четвертом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уменьшилось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в сравнении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третьим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24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я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),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четвертым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кварталом прошлого года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-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68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.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303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поступило непосредственно в министерство,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301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четвертом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прошлого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592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Количество обращений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четвертом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увеличилось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сравнении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третьим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1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% (на 2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в сравнении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четвертым </w:t>
      </w:r>
      <w:r>
        <w:rPr>
          <w:rStyle w:val="836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кварталом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прошлого года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уменьшилось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49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289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286499" cy="3133723"/>
            <wp:effectExtent l="4762" t="4762" r="4762" b="4762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Из числа поступивших обращений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четвертом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422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письменных обращений,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446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четвертом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775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Количество письменных обращений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четвертом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уменьшилось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сравнении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третьим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четвертым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прошлого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353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четвертом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года было зарегистрировано </w:t>
      </w:r>
      <w:r>
        <w:rPr>
          <w:rStyle w:val="836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307</w:t>
      </w:r>
      <w:r>
        <w:rPr>
          <w:rStyle w:val="836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заявлени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.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третьем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было </w:t>
      </w:r>
      <w:r>
        <w:rPr>
          <w:rStyle w:val="836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359</w:t>
      </w:r>
      <w:r>
        <w:rPr>
          <w:rStyle w:val="836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заявлени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четвертом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квартале 202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4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года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-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36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544</w:t>
      </w:r>
      <w:r>
        <w:rPr>
          <w:rStyle w:val="836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заявлени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я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. Количество заявлений в данном квартале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уменьшилось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с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третьим </w:t>
      </w:r>
      <w:r/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14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52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заявлени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я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),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четвертым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кварталом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прошлого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44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(на 237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заявлени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tabs>
          <w:tab w:val="left" w:pos="876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четвертом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устных 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не поступало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четвертом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устных 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четвертом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текущего года на личн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приеме у министра было принято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-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четвертом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прошлого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личный прием к министру обратил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837063" cy="3524611"/>
            <wp:effectExtent l="3175" t="3175" r="3175" b="3175"/>
            <wp:docPr id="3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24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четвертом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электронной почте проступ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третьем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четвертом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прошлого 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 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24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четвертом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96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третьем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70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четвертом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194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Данная статистика показыва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ет, что в сравнении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с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третьим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жалоб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увеличилось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сравнении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четвертым 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кварталом прошлого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уменьшилось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98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четвертом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третьем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запроса, 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четвертом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-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четвертом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кварталах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четвертом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по смс-с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ообщению обращений не поступало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четвертом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83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предложения, 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четвертом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bookmarkStart w:id="0" w:name="_GoBack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857997" cy="3924297"/>
            <wp:effectExtent l="4762" t="4762" r="4762" b="4762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End w:id="0"/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направлены ответы заявителям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электронном виде, в письменной и устной форме даны разъяснения и рекомендации.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обращения рассмотрены в соответствии с Федеральным законом от 02.05.2006 № 59-ФЗ «О порядке рассмотрения обращений граждан Российской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Федерации», Регламентом министерства, Инструкцией по организации работы с обращениями граждан и проведению личного приема граждан в министерстве транспорта и дорожного хозяйства Новосибирской области», утвержденной приказом министерства от 12.04.2017 № 60.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Заявителям даны письменные ответы в установленные действующим законодательством сроки.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Организация работы с обращениями граждан в министерстве транспорта и дорожного хозяйства Нов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осибирской области позволила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четвертом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квартале 202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года обеспечить своевременное, объективное и всестороннее рассмотрение обращений граждан, своевременно принимать меры, направленные на восстановление или защиту нарушенных прав, свобод и законных интересов граждан.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</w:p>
    <w:sectPr>
      <w:footnotePr/>
      <w:endnotePr/>
      <w:type w:val="continuous"/>
      <w:pgSz w:w="11906" w:h="16838" w:orient="portrait"/>
      <w:pgMar w:top="709" w:right="993" w:bottom="284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7"/>
    <w:link w:val="65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7"/>
    <w:link w:val="680"/>
    <w:uiPriority w:val="10"/>
    <w:rPr>
      <w:sz w:val="48"/>
      <w:szCs w:val="48"/>
    </w:rPr>
  </w:style>
  <w:style w:type="character" w:styleId="37">
    <w:name w:val="Subtitle Char"/>
    <w:basedOn w:val="667"/>
    <w:link w:val="682"/>
    <w:uiPriority w:val="11"/>
    <w:rPr>
      <w:sz w:val="24"/>
      <w:szCs w:val="24"/>
    </w:rPr>
  </w:style>
  <w:style w:type="character" w:styleId="39">
    <w:name w:val="Quote Char"/>
    <w:link w:val="684"/>
    <w:uiPriority w:val="29"/>
    <w:rPr>
      <w:i/>
    </w:rPr>
  </w:style>
  <w:style w:type="character" w:styleId="41">
    <w:name w:val="Intense Quote Char"/>
    <w:link w:val="686"/>
    <w:uiPriority w:val="30"/>
    <w:rPr>
      <w:i/>
    </w:rPr>
  </w:style>
  <w:style w:type="character" w:styleId="176">
    <w:name w:val="Footnote Text Char"/>
    <w:link w:val="818"/>
    <w:uiPriority w:val="99"/>
    <w:rPr>
      <w:sz w:val="18"/>
    </w:rPr>
  </w:style>
  <w:style w:type="character" w:styleId="179">
    <w:name w:val="Endnote Text Char"/>
    <w:link w:val="821"/>
    <w:uiPriority w:val="99"/>
    <w:rPr>
      <w:sz w:val="20"/>
    </w:rPr>
  </w:style>
  <w:style w:type="paragraph" w:styleId="657" w:default="1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658">
    <w:name w:val="Heading 1"/>
    <w:basedOn w:val="657"/>
    <w:next w:val="657"/>
    <w:link w:val="6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9">
    <w:name w:val="Heading 2"/>
    <w:basedOn w:val="657"/>
    <w:next w:val="657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57"/>
    <w:next w:val="657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4">
    <w:name w:val="Heading 7"/>
    <w:basedOn w:val="657"/>
    <w:next w:val="657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5">
    <w:name w:val="Heading 8"/>
    <w:basedOn w:val="657"/>
    <w:next w:val="657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6">
    <w:name w:val="Heading 9"/>
    <w:basedOn w:val="657"/>
    <w:next w:val="657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Заголовок 1 Знак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671" w:customStyle="1">
    <w:name w:val="Заголовок 2 Знак"/>
    <w:basedOn w:val="667"/>
    <w:link w:val="659"/>
    <w:uiPriority w:val="9"/>
    <w:rPr>
      <w:rFonts w:ascii="Arial" w:hAnsi="Arial" w:eastAsia="Arial" w:cs="Arial"/>
      <w:sz w:val="34"/>
    </w:rPr>
  </w:style>
  <w:style w:type="character" w:styleId="672" w:customStyle="1">
    <w:name w:val="Заголовок 3 Знак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673" w:customStyle="1">
    <w:name w:val="Заголовок 4 Знак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Заголовок 5 Знак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Заголовок 6 Знак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Заголовок 7 Знак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Заголовок 8 Знак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Заголовок 9 Знак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No Spacing"/>
    <w:uiPriority w:val="1"/>
    <w:qFormat/>
    <w:pPr>
      <w:spacing w:after="0" w:line="240" w:lineRule="auto"/>
    </w:pPr>
  </w:style>
  <w:style w:type="paragraph" w:styleId="680">
    <w:name w:val="Title"/>
    <w:basedOn w:val="657"/>
    <w:next w:val="657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 w:customStyle="1">
    <w:name w:val="Заголовок Знак"/>
    <w:basedOn w:val="667"/>
    <w:link w:val="680"/>
    <w:uiPriority w:val="10"/>
    <w:rPr>
      <w:sz w:val="48"/>
      <w:szCs w:val="48"/>
    </w:rPr>
  </w:style>
  <w:style w:type="paragraph" w:styleId="682">
    <w:name w:val="Subtitle"/>
    <w:basedOn w:val="657"/>
    <w:next w:val="657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 w:customStyle="1">
    <w:name w:val="Подзаголовок Знак"/>
    <w:basedOn w:val="667"/>
    <w:link w:val="682"/>
    <w:uiPriority w:val="11"/>
    <w:rPr>
      <w:sz w:val="24"/>
      <w:szCs w:val="24"/>
    </w:rPr>
  </w:style>
  <w:style w:type="paragraph" w:styleId="684">
    <w:name w:val="Quote"/>
    <w:basedOn w:val="657"/>
    <w:next w:val="657"/>
    <w:link w:val="685"/>
    <w:uiPriority w:val="29"/>
    <w:qFormat/>
    <w:pPr>
      <w:ind w:left="720" w:right="720"/>
    </w:pPr>
    <w:rPr>
      <w:i/>
    </w:rPr>
  </w:style>
  <w:style w:type="character" w:styleId="685" w:customStyle="1">
    <w:name w:val="Цитата 2 Знак"/>
    <w:link w:val="684"/>
    <w:uiPriority w:val="29"/>
    <w:rPr>
      <w:i/>
    </w:rPr>
  </w:style>
  <w:style w:type="paragraph" w:styleId="686">
    <w:name w:val="Intense Quote"/>
    <w:basedOn w:val="657"/>
    <w:next w:val="657"/>
    <w:link w:val="68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 w:customStyle="1">
    <w:name w:val="Выделенная цитата Знак"/>
    <w:link w:val="686"/>
    <w:uiPriority w:val="30"/>
    <w:rPr>
      <w:i/>
    </w:rPr>
  </w:style>
  <w:style w:type="character" w:styleId="688" w:customStyle="1">
    <w:name w:val="Header Char"/>
    <w:basedOn w:val="667"/>
    <w:uiPriority w:val="99"/>
  </w:style>
  <w:style w:type="character" w:styleId="689" w:customStyle="1">
    <w:name w:val="Footer Char"/>
    <w:basedOn w:val="667"/>
    <w:uiPriority w:val="99"/>
  </w:style>
  <w:style w:type="paragraph" w:styleId="690">
    <w:name w:val="Caption"/>
    <w:basedOn w:val="657"/>
    <w:next w:val="6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 w:customStyle="1">
    <w:name w:val="Caption Char"/>
    <w:uiPriority w:val="99"/>
  </w:style>
  <w:style w:type="table" w:styleId="692" w:customStyle="1">
    <w:name w:val="Table Grid Light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>
    <w:name w:val="Plain Table 1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6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1" w:customStyle="1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2" w:customStyle="1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3" w:customStyle="1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4" w:customStyle="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5" w:customStyle="1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6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5" w:customStyle="1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6" w:customStyle="1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7" w:customStyle="1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8" w:customStyle="1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9" w:customStyle="1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4" w:customStyle="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6" w:customStyle="1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8" w:customStyle="1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9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8" w:customStyle="1">
    <w:name w:val="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9" w:customStyle="1">
    <w:name w:val="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0" w:customStyle="1">
    <w:name w:val="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1" w:customStyle="1">
    <w:name w:val="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2" w:customStyle="1">
    <w:name w:val="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3" w:customStyle="1">
    <w:name w:val="Bordered &amp; 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Bordered &amp; 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Bordered &amp; 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Bordered &amp; 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Bordered &amp; 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Bordered &amp; 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2" w:customStyle="1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3" w:customStyle="1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4" w:customStyle="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5" w:customStyle="1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6" w:customStyle="1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657"/>
    <w:link w:val="819"/>
    <w:uiPriority w:val="99"/>
    <w:semiHidden/>
    <w:unhideWhenUsed/>
    <w:pPr>
      <w:spacing w:after="40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basedOn w:val="667"/>
    <w:uiPriority w:val="99"/>
    <w:unhideWhenUsed/>
    <w:rPr>
      <w:vertAlign w:val="superscript"/>
    </w:rPr>
  </w:style>
  <w:style w:type="paragraph" w:styleId="821">
    <w:name w:val="endnote text"/>
    <w:basedOn w:val="657"/>
    <w:link w:val="822"/>
    <w:uiPriority w:val="99"/>
    <w:semiHidden/>
    <w:unhideWhenUsed/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basedOn w:val="667"/>
    <w:uiPriority w:val="99"/>
    <w:semiHidden/>
    <w:unhideWhenUsed/>
    <w:rPr>
      <w:vertAlign w:val="superscript"/>
    </w:rPr>
  </w:style>
  <w:style w:type="paragraph" w:styleId="824">
    <w:name w:val="toc 1"/>
    <w:basedOn w:val="657"/>
    <w:next w:val="657"/>
    <w:uiPriority w:val="39"/>
    <w:unhideWhenUsed/>
    <w:pPr>
      <w:spacing w:after="57"/>
    </w:pPr>
  </w:style>
  <w:style w:type="paragraph" w:styleId="825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26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27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28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29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30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31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32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7"/>
    <w:next w:val="657"/>
    <w:uiPriority w:val="99"/>
    <w:unhideWhenUsed/>
  </w:style>
  <w:style w:type="paragraph" w:styleId="835">
    <w:name w:val="List Paragraph"/>
    <w:basedOn w:val="657"/>
    <w:uiPriority w:val="34"/>
    <w:qFormat/>
    <w:pPr>
      <w:contextualSpacing/>
      <w:ind w:left="720"/>
    </w:pPr>
  </w:style>
  <w:style w:type="character" w:styleId="836">
    <w:name w:val="Strong"/>
    <w:basedOn w:val="667"/>
    <w:uiPriority w:val="22"/>
    <w:qFormat/>
    <w:rPr>
      <w:rFonts w:cs="Times New Roman"/>
      <w:b/>
    </w:rPr>
  </w:style>
  <w:style w:type="paragraph" w:styleId="837">
    <w:name w:val="Balloon Text"/>
    <w:basedOn w:val="657"/>
    <w:link w:val="838"/>
    <w:uiPriority w:val="99"/>
    <w:semiHidden/>
    <w:unhideWhenUsed/>
    <w:rPr>
      <w:rFonts w:ascii="Tahoma" w:hAnsi="Tahoma" w:cs="Tahoma"/>
      <w:sz w:val="16"/>
      <w:szCs w:val="16"/>
    </w:rPr>
  </w:style>
  <w:style w:type="character" w:styleId="838" w:customStyle="1">
    <w:name w:val="Текст выноски Знак"/>
    <w:basedOn w:val="667"/>
    <w:link w:val="837"/>
    <w:uiPriority w:val="99"/>
    <w:semiHidden/>
    <w:rPr>
      <w:rFonts w:ascii="Tahoma" w:hAnsi="Tahoma" w:cs="Tahoma"/>
      <w:sz w:val="16"/>
      <w:szCs w:val="16"/>
    </w:rPr>
  </w:style>
  <w:style w:type="table" w:styleId="839">
    <w:name w:val="Table Grid"/>
    <w:basedOn w:val="66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0">
    <w:name w:val="Header"/>
    <w:basedOn w:val="657"/>
    <w:link w:val="84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basedOn w:val="667"/>
    <w:link w:val="840"/>
    <w:uiPriority w:val="99"/>
    <w:rPr>
      <w:rFonts w:ascii="Calibri" w:hAnsi="Calibri" w:cs="Calibri"/>
    </w:rPr>
  </w:style>
  <w:style w:type="paragraph" w:styleId="842">
    <w:name w:val="Footer"/>
    <w:basedOn w:val="657"/>
    <w:link w:val="84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basedOn w:val="667"/>
    <w:link w:val="842"/>
    <w:uiPriority w:val="99"/>
    <w:rPr>
      <w:rFonts w:ascii="Calibri" w:hAnsi="Calibri" w:cs="Calibri"/>
    </w:rPr>
  </w:style>
  <w:style w:type="paragraph" w:styleId="844">
    <w:name w:val="Revision"/>
    <w:hidden/>
    <w:uiPriority w:val="99"/>
    <w:semiHidden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hart" Target="charts/chart1.xml" /><Relationship Id="rId12" Type="http://schemas.openxmlformats.org/officeDocument/2006/relationships/chart" Target="charts/chart2.xml" /><Relationship Id="rId13" Type="http://schemas.openxmlformats.org/officeDocument/2006/relationships/chart" Target="charts/chart3.xml" /><Relationship Id="rId14" Type="http://schemas.openxmlformats.org/officeDocument/2006/relationships/chart" Target="charts/chart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_rels/chart4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4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Динамика поступивших обращений в Минтранс НСО в</a:t>
            </a:r>
            <a:r>
              <a:rPr lang="ru-RU" sz="1200"/>
              <a:t> четвертом </a:t>
            </a:r>
            <a:r>
              <a:rPr lang="ru-RU" sz="1200"/>
              <a:t>квартале 2025 года в сравнении с третьим </a:t>
            </a:r>
            <a:r>
              <a:rPr lang="ru-RU" sz="1200"/>
              <a:t>кварталом 2025 года  </a:t>
            </a:r>
            <a:endParaRPr lang="ru-RU"/>
          </a:p>
          <a:p>
            <a:pPr>
              <a:defRPr/>
            </a:pPr>
            <a:r>
              <a:rPr lang="ru-RU" sz="1200"/>
              <a:t>и четвертым кварталом 2024 года  </a:t>
            </a:r>
            <a:endParaRPr lang="ru-RU"/>
          </a:p>
        </c:rich>
      </c:tx>
      <c:layout>
        <c:manualLayout>
          <c:xMode val="edge"/>
          <c:yMode val="edge"/>
          <c:x val="0.126510"/>
          <c:y val="0.037010"/>
        </c:manualLayout>
      </c:layout>
      <c:overlay val="0"/>
    </c:title>
    <c:autoTitleDeleted val="0"/>
    <c:view3D>
      <c:rotX val="30"/>
      <c:rotY val="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Количество поступивших обращений</c:v>
                </c:pt>
              </c:strCache>
            </c:strRef>
          </c:tx>
          <c:dLbls>
            <c:dLblPos val="ctr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strRef>
              <c:f>Лист1!$A$2:$A$5</c:f>
              <c:strCache>
                <c:ptCount val="4"/>
                <c:pt idx="1">
                  <c:v xml:space="preserve">4 квартал 2025 года</c:v>
                </c:pt>
                <c:pt idx="2">
                  <c:v xml:space="preserve">3 квартал 2025 года</c:v>
                </c:pt>
                <c:pt idx="3">
                  <c:v xml:space="preserve">4 квартал 2024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425</c:v>
                </c:pt>
                <c:pt idx="2">
                  <c:v>447</c:v>
                </c:pt>
                <c:pt idx="3">
                  <c:v>782</c:v>
                </c:pt>
              </c:numCache>
            </c:numRef>
          </c:val>
        </c:ser>
        <c:dLbls>
          <c:dLblPos val="ctr"/>
          <c:showBubbleSize val="0"/>
          <c:showCatName val="0"/>
          <c:showLeaderLines val="0"/>
          <c:showLegendKey val="0"/>
          <c:showPercent val="0"/>
          <c:showSerName val="0"/>
          <c:showVal val="0"/>
        </c:dLbls>
      </c:pie3DChart>
    </c:plotArea>
    <c:legend>
      <c:legendPos val="t"/>
      <c:legendEntry>
        <c:idx val="0"/>
        <c:delete val="1"/>
      </c:legendEntry>
      <c:layout>
        <c:manualLayout>
          <c:xMode val="edge"/>
          <c:yMode val="edge"/>
          <c:x val="0.128540"/>
          <c:y val="0.311820"/>
        </c:manualLayout>
      </c:layout>
      <c:overlay val="0"/>
    </c:legend>
    <c:plotVisOnly val="1"/>
    <c:dispBlanksAs val="gap"/>
    <c:showDLblsOverMax val="0"/>
  </c:chart>
  <c:spPr bwMode="auto">
    <a:xfrm>
      <a:off x="0" y="0"/>
      <a:ext cx="6003230" cy="2401290"/>
    </a:xfrm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Динамика обращений поступивших в адрес Минтранса НСО в четвертом </a:t>
            </a:r>
            <a:r>
              <a:rPr lang="ru-RU" sz="1200"/>
              <a:t>квартале 2025 года, в сравнении с </a:t>
            </a:r>
            <a:r>
              <a:rPr lang="ru-RU" sz="1200"/>
              <a:t>третьим</a:t>
            </a:r>
            <a:r>
              <a:rPr lang="ru-RU" sz="1200"/>
              <a:t> </a:t>
            </a:r>
            <a:r>
              <a:rPr lang="ru-RU" sz="1200"/>
              <a:t>кварталом  2025 года и четвертым кварталом 2024 года</a:t>
            </a:r>
            <a:endParaRPr/>
          </a:p>
        </c:rich>
      </c:tx>
      <c:layout>
        <c:manualLayout>
          <c:xMode val="edge"/>
          <c:yMode val="edge"/>
          <c:x val="0.134290"/>
          <c:y val="0.01725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4 квартал 2025 год</c:v>
                </c:pt>
              </c:strCache>
            </c:strRef>
          </c:tx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strRef>
              <c:f>Лист1!$A$2:$A$5</c:f>
              <c:strCache>
                <c:ptCount val="4"/>
                <c:pt idx="1">
                  <c:v xml:space="preserve">общественная приемная</c:v>
                </c:pt>
                <c:pt idx="2">
                  <c:v xml:space="preserve">непосредственно в министерство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122</c:v>
                </c:pt>
                <c:pt idx="2">
                  <c:v>303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3 квартал 2025 год</c:v>
                </c:pt>
              </c:strCache>
            </c:strRef>
          </c:tx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strRef>
              <c:f>Лист1!$A$2:$A$5</c:f>
              <c:strCache>
                <c:ptCount val="4"/>
                <c:pt idx="1">
                  <c:v xml:space="preserve">общественная приемная</c:v>
                </c:pt>
                <c:pt idx="2">
                  <c:v xml:space="preserve">непосредственно в министерство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146</c:v>
                </c:pt>
                <c:pt idx="2">
                  <c:v>301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4 квартал 2024 год</c:v>
                </c:pt>
              </c:strCache>
            </c:strRef>
          </c:tx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strRef>
              <c:f>Лист1!$A$2:$A$5</c:f>
              <c:strCache>
                <c:ptCount val="4"/>
                <c:pt idx="1">
                  <c:v xml:space="preserve">общественная приемная</c:v>
                </c:pt>
                <c:pt idx="2">
                  <c:v xml:space="preserve">непосредственно в министерство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190</c:v>
                </c:pt>
                <c:pt idx="2">
                  <c:v>592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strRef>
              <c:f>Лист1!$A$2:$A$5</c:f>
              <c:strCache>
                <c:ptCount val="4"/>
                <c:pt idx="1">
                  <c:v xml:space="preserve">общественная приемная</c:v>
                </c:pt>
                <c:pt idx="2">
                  <c:v xml:space="preserve">непосредственно в министерство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95"/>
        <c:gapDepth val="95"/>
        <c:shape val="cylinder"/>
        <c:axId val="73373184"/>
        <c:axId val="73374720"/>
      </c:bar3DChart>
      <c:catAx>
        <c:axId val="73373184"/>
        <c:scaling>
          <c:orientation val="minMax"/>
        </c:scaling>
        <c:delete val="0"/>
        <c:axPos val="l"/>
        <c:majorGridlines>
          <c:spPr bwMode="auto"/>
        </c:majorGridlines>
        <c:minorGridlines>
          <c:spPr bwMode="auto"/>
        </c:minorGridlines>
        <c:numFmt formatCode="General" sourceLinked="0"/>
        <c:majorTickMark val="none"/>
        <c:minorTickMark val="none"/>
        <c:tickLblPos val="nextTo"/>
        <c:crossAx val="73374720"/>
        <c:crosses val="autoZero"/>
        <c:auto val="1"/>
        <c:lblAlgn val="ctr"/>
        <c:lblOffset val="100"/>
        <c:noMultiLvlLbl val="0"/>
      </c:catAx>
      <c:valAx>
        <c:axId val="73374720"/>
        <c:scaling>
          <c:orientation val="minMax"/>
        </c:scaling>
        <c:delete val="1"/>
        <c:axPos val="b"/>
        <c:majorGridlines>
          <c:spPr bwMode="auto"/>
        </c:majorGridlines>
        <c:minorGridlines>
          <c:spPr bwMode="auto"/>
        </c:minorGridlines>
        <c:numFmt formatCode="General" sourceLinked="1"/>
        <c:majorTickMark val="out"/>
        <c:minorTickMark val="none"/>
        <c:tickLblPos val="none"/>
        <c:crossAx val="73373184"/>
        <c:crosses val="autoZero"/>
        <c:crossBetween val="between"/>
      </c:valAx>
      <c:spPr bwMode="auto">
        <a:prstGeom prst="rect">
          <a:avLst/>
        </a:prstGeom>
        <a:noFill/>
        <a:ln w="25400">
          <a:noFill/>
        </a:ln>
      </c:spPr>
    </c:plotArea>
    <c:legend>
      <c:legendPos val="t"/>
      <c:legendEntry>
        <c:idx val="3"/>
        <c:delete val="1"/>
      </c:legendEntry>
      <c:layout/>
      <c:overlay val="0"/>
      <c:txPr>
        <a:bodyPr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286498" cy="3133722"/>
    </a:xfrm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Виды поступивших обращений в</a:t>
            </a:r>
            <a:r>
              <a:rPr lang="ru-RU" sz="1200"/>
              <a:t> четвертом </a:t>
            </a:r>
            <a:r>
              <a:rPr lang="ru-RU" sz="1200"/>
              <a:t>квартале 2025 года в сравнении с третьим </a:t>
            </a:r>
            <a:r>
              <a:rPr lang="ru-RU" sz="1200"/>
              <a:t>кварталом 2025 года и </a:t>
            </a:r>
            <a:endParaRPr/>
          </a:p>
          <a:p>
            <a:pPr>
              <a:defRPr/>
            </a:pPr>
            <a:r>
              <a:rPr lang="ru-RU" sz="1200"/>
              <a:t> четвертым кварталом 2024 года</a:t>
            </a:r>
            <a:r>
              <a:rPr lang="ru-RU"/>
              <a:t> </a:t>
            </a:r>
            <a:endParaRPr/>
          </a:p>
        </c:rich>
      </c:tx>
      <c:layout>
        <c:manualLayout>
          <c:xMode val="edge"/>
          <c:yMode val="edge"/>
          <c:x val="0.124000"/>
          <c:y val="0.022030"/>
        </c:manualLayout>
      </c:layout>
      <c:overlay val="0"/>
      <c:spPr bwMode="auto">
        <a:prstGeom prst="rect">
          <a:avLst/>
        </a:prstGeom>
        <a:noFill/>
        <a:ln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</c:spPr>
    </c:floor>
    <c:sideWall>
      <c:thickness val="0"/>
      <c:spPr bwMode="auto">
        <a:prstGeom prst="rect">
          <a:avLst/>
        </a:prstGeom>
        <a:noFill/>
        <a:ln>
          <a:noFill/>
        </a:ln>
      </c:spPr>
    </c:sideWall>
    <c:backWall>
      <c:thickness val="0"/>
      <c:spPr bwMode="auto">
        <a:prstGeom prst="rect">
          <a:avLst/>
        </a:prstGeom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0.256160"/>
          <c:y val="0.195800"/>
          <c:w val="0.729940"/>
          <c:h val="0.538220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4 квартал 2025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</c:spPr>
            <c:txPr>
              <a:bodyPr/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>письменные</c:v>
                </c:pt>
                <c:pt idx="1">
                  <c:v>устные</c:v>
                </c:pt>
                <c:pt idx="2">
                  <c:v xml:space="preserve">электронная почта</c:v>
                </c:pt>
                <c:pt idx="3">
                  <c:v xml:space="preserve">личный прием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422</c:v>
                </c:pt>
                <c:pt idx="1">
                  <c:v>0</c:v>
                </c:pt>
                <c:pt idx="2">
                  <c:v>21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3 квартал 2025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</c:spPr>
            <c:txPr>
              <a:bodyPr/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>письменные</c:v>
                </c:pt>
                <c:pt idx="1">
                  <c:v>устные</c:v>
                </c:pt>
                <c:pt idx="2">
                  <c:v xml:space="preserve">электронная почта</c:v>
                </c:pt>
                <c:pt idx="3">
                  <c:v xml:space="preserve">личный прием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446</c:v>
                </c:pt>
                <c:pt idx="1">
                  <c:v>0</c:v>
                </c:pt>
                <c:pt idx="2">
                  <c:v>23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4 квартал 2024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>
                <a:alpha val="88000"/>
              </a:schemeClr>
            </a:solidFill>
            <a:ln>
              <a:solidFill>
                <a:schemeClr val="accent3">
                  <a:lumMod val="50000"/>
                </a:schemeClr>
              </a:solidFill>
            </a:ln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chemeClr val="accent3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</c:spPr>
            <c:txPr>
              <a:bodyPr/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>письменные</c:v>
                </c:pt>
                <c:pt idx="1">
                  <c:v>устные</c:v>
                </c:pt>
                <c:pt idx="2">
                  <c:v xml:space="preserve">электронная почта</c:v>
                </c:pt>
                <c:pt idx="3">
                  <c:v xml:space="preserve">личный прием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775</c:v>
                </c:pt>
                <c:pt idx="1">
                  <c:v>2</c:v>
                </c:pt>
                <c:pt idx="2">
                  <c:v>25</c:v>
                </c:pt>
                <c:pt idx="3">
                  <c:v>4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84"/>
        <c:gapDepth val="53"/>
        <c:shape val="cone"/>
        <c:axId val="86335891"/>
        <c:axId val="86335892"/>
      </c:bar3DChart>
      <c:catAx>
        <c:axId val="86335891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lstStyle/>
          <a:p>
            <a:pPr>
              <a:defRPr sz="900">
                <a:solidFill>
                  <a:schemeClr val="lt1">
                    <a:lumMod val="7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86335892"/>
        <c:crosses val="autoZero"/>
        <c:auto val="1"/>
        <c:lblAlgn val="ctr"/>
        <c:lblOffset val="100"/>
        <c:noMultiLvlLbl val="0"/>
      </c:catAx>
      <c:valAx>
        <c:axId val="863358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6335891"/>
        <c:crosses val="autoZero"/>
        <c:crossBetween val="between"/>
      </c:valAx>
      <c:dTable>
        <c:showHorzBorder val="1"/>
        <c:showVertBorder val="1"/>
        <c:showOutline val="1"/>
        <c:showKeys val="1"/>
        <c:spPr bwMode="auto">
          <a:prstGeom prst="rect">
            <a:avLst/>
          </a:prstGeom>
          <a:solidFill>
            <a:schemeClr val="dk1">
              <a:lumMod val="75000"/>
              <a:lumOff val="25000"/>
            </a:schemeClr>
          </a:solidFill>
          <a:ln w="6350" cap="flat" cmpd="sng" algn="ctr">
            <a:solidFill>
              <a:schemeClr val="dk1">
                <a:tint val="75000"/>
              </a:schemeClr>
            </a:solidFill>
            <a:round/>
          </a:ln>
        </c:spPr>
        <c:txPr>
          <a:bodyPr/>
          <a:lstStyle/>
          <a:p>
            <a:pPr>
              <a:defRPr sz="10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 bwMode="auto">
        <a:prstGeom prst="rect">
          <a:avLst/>
        </a:prstGeom>
        <a:noFill/>
        <a:ln>
          <a:noFill/>
        </a:ln>
      </c:spPr>
    </c:plotArea>
    <c:plotVisOnly val="1"/>
    <c:dispBlanksAs val="gap"/>
    <c:showDLblsOverMax val="0"/>
  </c:chart>
  <c:spPr bwMode="auto">
    <a:xfrm>
      <a:off x="0" y="0"/>
      <a:ext cx="6837062" cy="3524610"/>
    </a:xfrm>
    <a:prstGeom prst="rect">
      <a:avLst/>
    </a:prstGeom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</c:spPr>
  <c:txPr>
    <a:bodyPr/>
    <a:lstStyle/>
    <a:p>
      <a:pPr>
        <a:defRPr sz="1000">
          <a:solidFill>
            <a:schemeClr val="lt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Виды обращений поступивших в адрес Минтранса НСО </a:t>
            </a:r>
            <a:r>
              <a:rPr lang="ru-RU" sz="1400" b="1" i="0" u="none" strike="noStrike"/>
              <a:t>в четвертом </a:t>
            </a:r>
            <a:r>
              <a:rPr lang="ru-RU" sz="1400"/>
              <a:t>квартале 2025 года в сравнении с третьим кварталом 2025 года и с</a:t>
            </a:r>
            <a:r>
              <a:rPr lang="ru-RU" sz="1400"/>
              <a:t> четвертым </a:t>
            </a:r>
            <a:r>
              <a:rPr lang="ru-RU" sz="1400"/>
              <a:t>кварталом 2024 года</a:t>
            </a:r>
            <a:endParaRPr lang="ru-RU" sz="1200"/>
          </a:p>
        </c:rich>
      </c:tx>
      <c:layout>
        <c:manualLayout>
          <c:xMode val="edge"/>
          <c:yMode val="edge"/>
          <c:x val="0.140370"/>
          <c:y val="0.04379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4 квартал 2025 год</c:v>
                </c:pt>
              </c:strCache>
            </c:strRef>
          </c:tx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strRef>
              <c:f>Лист1!$A$2:$A$6</c:f>
              <c:strCache>
                <c:ptCount val="5"/>
                <c:pt idx="0">
                  <c:v>заявление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запросы</c:v>
                </c:pt>
                <c:pt idx="4">
                  <c:v>смс-сообщения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307</c:v>
                </c:pt>
                <c:pt idx="1">
                  <c:v>96</c:v>
                </c:pt>
                <c:pt idx="2">
                  <c:v>4</c:v>
                </c:pt>
                <c:pt idx="3">
                  <c:v>6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3 квартал 2025 год</c:v>
                </c:pt>
              </c:strCache>
            </c:strRef>
          </c:tx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strRef>
              <c:f>Лист1!$A$2:$A$6</c:f>
              <c:strCache>
                <c:ptCount val="5"/>
                <c:pt idx="0">
                  <c:v>заявление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запросы</c:v>
                </c:pt>
                <c:pt idx="4">
                  <c:v>смс-сообщения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359</c:v>
                </c:pt>
                <c:pt idx="1">
                  <c:v>70</c:v>
                </c:pt>
                <c:pt idx="2">
                  <c:v>3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4 квартал 2024 год</c:v>
                </c:pt>
              </c:strCache>
            </c:strRef>
          </c:tx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strRef>
              <c:f>Лист1!$A$2:$A$6</c:f>
              <c:strCache>
                <c:ptCount val="5"/>
                <c:pt idx="0">
                  <c:v>заявление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запросы</c:v>
                </c:pt>
                <c:pt idx="4">
                  <c:v>смс-сообщения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544</c:v>
                </c:pt>
                <c:pt idx="1">
                  <c:v>194</c:v>
                </c:pt>
                <c:pt idx="2">
                  <c:v>8</c:v>
                </c:pt>
                <c:pt idx="3">
                  <c:v>11</c:v>
                </c:pt>
                <c:pt idx="4">
                  <c:v>0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50"/>
        <c:shape val="cylinder"/>
        <c:axId val="86313600"/>
        <c:axId val="86335872"/>
      </c:bar3DChart>
      <c:catAx>
        <c:axId val="86313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6335872"/>
        <c:crosses val="autoZero"/>
        <c:auto val="1"/>
        <c:lblAlgn val="ctr"/>
        <c:lblOffset val="100"/>
        <c:noMultiLvlLbl val="0"/>
      </c:catAx>
      <c:valAx>
        <c:axId val="863358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86313600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spPr bwMode="auto">
    <a:xfrm>
      <a:off x="0" y="0"/>
      <a:ext cx="6857996" cy="3924297"/>
    </a:xfrm>
  </c:spPr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EE146-8939-4803-AD3A-4D3012E76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Ольга Евгеньевна</dc:creator>
  <cp:keywords/>
  <dc:description/>
  <cp:lastModifiedBy>sheav@NSO.LOC</cp:lastModifiedBy>
  <cp:revision>5</cp:revision>
  <dcterms:created xsi:type="dcterms:W3CDTF">2025-10-01T05:24:00Z</dcterms:created>
  <dcterms:modified xsi:type="dcterms:W3CDTF">2026-01-22T07:03:31Z</dcterms:modified>
</cp:coreProperties>
</file>