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5" w:rsidRPr="00B32C25" w:rsidRDefault="00D56370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471021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августе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463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 запросов информации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и принятых мер</w:t>
      </w:r>
    </w:p>
    <w:p w:rsidR="007B1DF5" w:rsidRPr="00B32C25" w:rsidRDefault="007B1DF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 w:rsidRPr="00B32C25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 w:rsidRPr="00B32C2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1DF5" w:rsidRPr="00722E6F" w:rsidRDefault="00D5637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транспорта и дорожного хозяйства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3D7DEB" w:rsidRPr="00722E6F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либо лицом его замещающим.</w:t>
      </w:r>
    </w:p>
    <w:p w:rsidR="007B1DF5" w:rsidRPr="00722E6F" w:rsidRDefault="00D5637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 w:rsidRPr="00F2398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F23988">
        <w:rPr>
          <w:rFonts w:ascii="Times New Roman" w:hAnsi="Times New Roman" w:cs="Times New Roman"/>
          <w:b/>
          <w:sz w:val="28"/>
          <w:szCs w:val="28"/>
        </w:rPr>
        <w:t>01.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0</w:t>
      </w:r>
      <w:r w:rsidR="00AC4C08">
        <w:rPr>
          <w:rFonts w:ascii="Times New Roman" w:hAnsi="Times New Roman" w:cs="Times New Roman"/>
          <w:b/>
          <w:sz w:val="28"/>
          <w:szCs w:val="28"/>
        </w:rPr>
        <w:t>8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3</w:t>
      </w:r>
      <w:r w:rsidR="007664D3">
        <w:rPr>
          <w:rFonts w:ascii="Times New Roman" w:hAnsi="Times New Roman" w:cs="Times New Roman"/>
          <w:b/>
          <w:sz w:val="28"/>
          <w:szCs w:val="28"/>
        </w:rPr>
        <w:t>1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.0</w:t>
      </w:r>
      <w:r w:rsidR="00AC4C08">
        <w:rPr>
          <w:rFonts w:ascii="Times New Roman" w:hAnsi="Times New Roman" w:cs="Times New Roman"/>
          <w:b/>
          <w:sz w:val="28"/>
          <w:szCs w:val="28"/>
        </w:rPr>
        <w:t>8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в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 w:rsidRPr="00F2398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C4C08">
        <w:rPr>
          <w:rFonts w:ascii="Times New Roman" w:hAnsi="Times New Roman" w:cs="Times New Roman"/>
          <w:b/>
          <w:sz w:val="28"/>
          <w:szCs w:val="28"/>
        </w:rPr>
        <w:t>106</w:t>
      </w:r>
      <w:r w:rsidRPr="00F23988">
        <w:rPr>
          <w:rFonts w:ascii="Times New Roman" w:hAnsi="Times New Roman" w:cs="Times New Roman"/>
          <w:sz w:val="28"/>
          <w:szCs w:val="28"/>
        </w:rPr>
        <w:t xml:space="preserve"> (в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AC4C08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</w:t>
      </w:r>
      <w:r w:rsidR="0064227D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sz w:val="28"/>
          <w:szCs w:val="28"/>
        </w:rPr>
        <w:t>202</w:t>
      </w:r>
      <w:r w:rsidR="00722E6F" w:rsidRPr="00F23988">
        <w:rPr>
          <w:rFonts w:ascii="Times New Roman" w:hAnsi="Times New Roman" w:cs="Times New Roman"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AC4C08">
        <w:rPr>
          <w:rFonts w:ascii="Times New Roman" w:hAnsi="Times New Roman" w:cs="Times New Roman"/>
          <w:b/>
          <w:sz w:val="28"/>
          <w:szCs w:val="28"/>
        </w:rPr>
        <w:t>84</w:t>
      </w:r>
      <w:r w:rsidR="00D365A3" w:rsidRPr="00F23988">
        <w:rPr>
          <w:rFonts w:ascii="Times New Roman" w:hAnsi="Times New Roman" w:cs="Times New Roman"/>
          <w:sz w:val="28"/>
          <w:szCs w:val="28"/>
        </w:rPr>
        <w:t xml:space="preserve">,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 2024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C4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212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AC4C08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</w:t>
      </w:r>
      <w:r w:rsidR="00392A30">
        <w:rPr>
          <w:rFonts w:ascii="Times New Roman" w:hAnsi="Times New Roman" w:cs="Times New Roman"/>
          <w:sz w:val="28"/>
          <w:szCs w:val="28"/>
        </w:rPr>
        <w:t>м</w:t>
      </w:r>
      <w:r w:rsidR="00696E1C"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26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22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ED3E36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AC4C08">
        <w:rPr>
          <w:rFonts w:ascii="Times New Roman" w:hAnsi="Times New Roman" w:cs="Times New Roman"/>
          <w:sz w:val="28"/>
          <w:szCs w:val="28"/>
        </w:rPr>
        <w:t>августом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 w:rsidR="00881B2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0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106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392A30" w:rsidRPr="00722E6F" w:rsidRDefault="00392A30" w:rsidP="00392A3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Из общего количества обращений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AC4C0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зарегистрировано </w:t>
      </w:r>
      <w:r w:rsidR="00AC4C08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105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</w:t>
      </w:r>
      <w:r w:rsidR="00C1033E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в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AC4C08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</w:t>
      </w:r>
      <w:r w:rsidR="007664D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AC4C08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84</w:t>
      </w:r>
      <w:r w:rsidR="00722E6F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письменн</w:t>
      </w:r>
      <w:r w:rsidR="006167FD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AC4C0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2024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 w:rsidR="00AC4C08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209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обращений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AC4C0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илось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AC4C08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25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21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е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в сравнении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664D3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 w:rsidR="00AC4C0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50</w:t>
      </w:r>
      <w:r w:rsidR="00AC4C0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AC4C0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% (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104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вопросов, содержащихся в письменных обращениях граждан, поступивших в управление дорожного комплекса министерства транспорта и дорожного хозяйства Новосибирской области: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Комплексное благоустройство;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Транспортное обслуживание населения, пассажирские перевозки;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-Городской, сельский и междугородний пассажирский транспорт;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-Платежные системы;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 Управление транспортом. Работа руководителей транспортных организаций.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-Борьба с аварийностью. Безопасность дорожного движения;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-Эксплуатация и сохранность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-Содержание транспортной инфраструктуры;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-Благоустройство и ремонт подъездных дорог, в том числе тротуаров;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-Тарифы, сборы и льготы на транспортные услуги;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-Благодарности, приглашения, поздравления органу местного самоуправления.</w:t>
      </w:r>
    </w:p>
    <w:p w:rsidR="007B1DF5" w:rsidRPr="00337252" w:rsidRDefault="00D56370">
      <w:pPr>
        <w:jc w:val="both"/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</w:pP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 w:rsidR="00AC4C08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106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разъяснения и напр</w:t>
      </w:r>
      <w:r w:rsidRPr="00337252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авлены ответы заявителям. </w:t>
      </w:r>
    </w:p>
    <w:p w:rsidR="007B1DF5" w:rsidRPr="00337252" w:rsidRDefault="007B1DF5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7B1DF5" w:rsidRPr="00337252">
          <w:pgSz w:w="11906" w:h="16838"/>
          <w:pgMar w:top="709" w:right="992" w:bottom="284" w:left="567" w:header="709" w:footer="709" w:gutter="0"/>
          <w:cols w:space="708"/>
          <w:docGrid w:linePitch="360"/>
        </w:sectPr>
      </w:pPr>
      <w:r w:rsidRPr="00337252">
        <w:rPr>
          <w:rStyle w:val="af5"/>
          <w:rFonts w:ascii="Times New Roman" w:hAnsi="Times New Roman"/>
          <w:b w:val="0"/>
          <w:sz w:val="28"/>
          <w:szCs w:val="28"/>
        </w:rPr>
        <w:t xml:space="preserve">        </w:t>
      </w:r>
      <w:r w:rsidRPr="00337252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1" cy="3199763"/>
            <wp:effectExtent l="0" t="0" r="3810" b="12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7B1DF5" w:rsidRPr="00337252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64227D">
        <w:rPr>
          <w:rFonts w:ascii="Times New Roman" w:hAnsi="Times New Roman" w:cs="Times New Roman"/>
          <w:b/>
          <w:sz w:val="28"/>
          <w:szCs w:val="28"/>
        </w:rPr>
        <w:t>3</w:t>
      </w:r>
      <w:r w:rsidR="007664D3">
        <w:rPr>
          <w:rFonts w:ascii="Times New Roman" w:hAnsi="Times New Roman" w:cs="Times New Roman"/>
          <w:b/>
          <w:sz w:val="28"/>
          <w:szCs w:val="28"/>
        </w:rPr>
        <w:t>1</w:t>
      </w:r>
      <w:r w:rsidR="0064227D">
        <w:rPr>
          <w:rFonts w:ascii="Times New Roman" w:hAnsi="Times New Roman" w:cs="Times New Roman"/>
          <w:b/>
          <w:sz w:val="28"/>
          <w:szCs w:val="28"/>
        </w:rPr>
        <w:t>.0</w:t>
      </w:r>
      <w:r w:rsidR="00AC4C08">
        <w:rPr>
          <w:rFonts w:ascii="Times New Roman" w:hAnsi="Times New Roman" w:cs="Times New Roman"/>
          <w:b/>
          <w:sz w:val="28"/>
          <w:szCs w:val="28"/>
        </w:rPr>
        <w:t>8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463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</w:p>
    <w:p w:rsidR="007B1DF5" w:rsidRPr="00F46395" w:rsidRDefault="007664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</w:p>
    <w:p w:rsidR="007B1DF5" w:rsidRPr="00B32C25" w:rsidRDefault="00AC4C0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56370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 w:rsidR="00EC6AEE">
        <w:rPr>
          <w:rFonts w:ascii="Times New Roman" w:hAnsi="Times New Roman" w:cs="Times New Roman"/>
          <w:sz w:val="28"/>
          <w:szCs w:val="28"/>
        </w:rPr>
        <w:t>августе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8D6E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EC6AEE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794F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EC6AEE">
        <w:rPr>
          <w:rFonts w:ascii="Times New Roman" w:hAnsi="Times New Roman" w:cs="Times New Roman"/>
          <w:sz w:val="28"/>
          <w:szCs w:val="28"/>
        </w:rPr>
        <w:t>августе</w:t>
      </w:r>
      <w:r w:rsidR="00EC6AEE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187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 w:rsidR="00EC6AEE">
        <w:rPr>
          <w:rFonts w:ascii="Times New Roman" w:hAnsi="Times New Roman" w:cs="Times New Roman"/>
          <w:sz w:val="28"/>
          <w:szCs w:val="28"/>
        </w:rPr>
        <w:t>августе</w:t>
      </w:r>
      <w:r w:rsidR="00EC6AEE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ED3E3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</w:t>
      </w:r>
      <w:r w:rsidR="00EC6AEE">
        <w:rPr>
          <w:rFonts w:ascii="Times New Roman" w:hAnsi="Times New Roman" w:cs="Times New Roman"/>
          <w:sz w:val="28"/>
          <w:szCs w:val="28"/>
        </w:rPr>
        <w:t>л</w:t>
      </w:r>
      <w:r w:rsidR="007664D3">
        <w:rPr>
          <w:rFonts w:ascii="Times New Roman" w:hAnsi="Times New Roman" w:cs="Times New Roman"/>
          <w:sz w:val="28"/>
          <w:szCs w:val="28"/>
        </w:rPr>
        <w:t>ем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D154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ом</w:t>
      </w:r>
      <w:r w:rsidR="00EC6AEE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794FC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C2617">
        <w:rPr>
          <w:rFonts w:ascii="Times New Roman" w:hAnsi="Times New Roman" w:cs="Times New Roman"/>
          <w:sz w:val="28"/>
          <w:szCs w:val="28"/>
        </w:rPr>
        <w:t>меньше</w:t>
      </w:r>
      <w:r w:rsidR="003D154C">
        <w:rPr>
          <w:rFonts w:ascii="Times New Roman" w:hAnsi="Times New Roman" w:cs="Times New Roman"/>
          <w:sz w:val="28"/>
          <w:szCs w:val="28"/>
        </w:rPr>
        <w:t xml:space="preserve"> </w:t>
      </w:r>
      <w:r w:rsidR="002C31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21" cy="3199763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B1DF5" w:rsidRPr="00B32C25" w:rsidRDefault="00D56370" w:rsidP="00933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C6AEE" w:rsidRPr="00EC6AEE">
        <w:rPr>
          <w:rFonts w:ascii="Times New Roman" w:hAnsi="Times New Roman" w:cs="Times New Roman"/>
          <w:color w:val="000000" w:themeColor="text1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023">
        <w:rPr>
          <w:rFonts w:ascii="Times New Roman" w:hAnsi="Times New Roman" w:cs="Times New Roman"/>
          <w:sz w:val="28"/>
          <w:szCs w:val="28"/>
        </w:rPr>
        <w:t xml:space="preserve"> 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не поступало</w:t>
      </w:r>
      <w:r w:rsidR="00EF3023">
        <w:rPr>
          <w:rFonts w:ascii="Times New Roman" w:hAnsi="Times New Roman" w:cs="Times New Roman"/>
          <w:sz w:val="28"/>
          <w:szCs w:val="28"/>
        </w:rPr>
        <w:t xml:space="preserve">, </w:t>
      </w:r>
      <w:r w:rsidR="00CC2617">
        <w:rPr>
          <w:rFonts w:ascii="Times New Roman" w:hAnsi="Times New Roman" w:cs="Times New Roman"/>
          <w:sz w:val="28"/>
          <w:szCs w:val="28"/>
        </w:rPr>
        <w:t xml:space="preserve">в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е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2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693081">
      <w:pPr>
        <w:shd w:val="clear" w:color="auto" w:fill="FFFFFF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B3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смс-сообщению в</w:t>
      </w:r>
      <w:r w:rsid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AEE" w:rsidRP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</w:t>
      </w:r>
      <w:r w:rsid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46395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текущего </w:t>
      </w:r>
      <w:r w:rsidR="00722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В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е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463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A1D43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="00DD2DA8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поступало.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 xml:space="preserve">е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</w:t>
      </w:r>
      <w:r w:rsidR="0028558C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(в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69308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е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 Количество ж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алоб в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е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сравнении с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439A9">
        <w:rPr>
          <w:rFonts w:ascii="Times New Roman" w:hAnsi="Times New Roman" w:cs="Times New Roman"/>
          <w:sz w:val="28"/>
          <w:szCs w:val="28"/>
        </w:rPr>
        <w:t>м</w:t>
      </w:r>
      <w:r w:rsidR="001D39C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9C8">
        <w:rPr>
          <w:rFonts w:ascii="Times New Roman" w:hAnsi="Times New Roman" w:cs="Times New Roman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жалоб)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="00EC6AEE" w:rsidRPr="00EC6AEE">
        <w:rPr>
          <w:rFonts w:ascii="Times New Roman" w:hAnsi="Times New Roman" w:cs="Times New Roman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sz w:val="28"/>
          <w:szCs w:val="28"/>
        </w:rPr>
        <w:t>ом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AD6E0E">
        <w:rPr>
          <w:rFonts w:ascii="Times New Roman" w:hAnsi="Times New Roman" w:cs="Times New Roman"/>
          <w:color w:val="000000" w:themeColor="text1"/>
          <w:sz w:val="28"/>
          <w:szCs w:val="28"/>
        </w:rPr>
        <w:t>прошлого</w:t>
      </w:r>
      <w:r w:rsidR="00AD6E0E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="009F40F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3" cy="3418762"/>
            <wp:effectExtent l="0" t="0" r="13335" b="1079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707F6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августе текущего</w:t>
      </w:r>
      <w:r w:rsidR="00CA14A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CA14A8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CA14A8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240A51">
        <w:rPr>
          <w:rFonts w:ascii="Times New Roman" w:hAnsi="Times New Roman" w:cs="Times New Roman"/>
          <w:sz w:val="28"/>
          <w:szCs w:val="28"/>
        </w:rPr>
        <w:t xml:space="preserve"> 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EF3023" w:rsidRP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личных 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не 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августе 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прошлого года</w:t>
      </w:r>
      <w:r w:rsidR="0084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1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8408A0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2A032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августе </w:t>
      </w:r>
      <w:r w:rsidR="0006726D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696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A4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</w:p>
    <w:p w:rsidR="007B1DF5" w:rsidRPr="00B32C25" w:rsidRDefault="00D56370">
      <w:pPr>
        <w:shd w:val="clear" w:color="auto" w:fill="FFFFFF"/>
        <w:spacing w:line="276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32C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25.01.2013 №20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</w:p>
    <w:p w:rsidR="007B1DF5" w:rsidRDefault="00D5637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области позволила в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августе </w:t>
      </w:r>
      <w:r w:rsidR="00DD41D5" w:rsidRPr="003372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672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7B1DF5">
      <w:type w:val="continuous"/>
      <w:pgSz w:w="11906" w:h="16838"/>
      <w:pgMar w:top="709" w:right="99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C1" w:rsidRDefault="00F840C1">
      <w:r>
        <w:separator/>
      </w:r>
    </w:p>
  </w:endnote>
  <w:endnote w:type="continuationSeparator" w:id="0">
    <w:p w:rsidR="00F840C1" w:rsidRDefault="00F8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C1" w:rsidRDefault="00F840C1">
      <w:r>
        <w:separator/>
      </w:r>
    </w:p>
  </w:footnote>
  <w:footnote w:type="continuationSeparator" w:id="0">
    <w:p w:rsidR="00F840C1" w:rsidRDefault="00F8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C4C"/>
    <w:multiLevelType w:val="hybridMultilevel"/>
    <w:tmpl w:val="9D985FEA"/>
    <w:lvl w:ilvl="0" w:tplc="FEC8D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31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483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446A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C03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F261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CE55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A94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746C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408CA"/>
    <w:multiLevelType w:val="hybridMultilevel"/>
    <w:tmpl w:val="C8224AA8"/>
    <w:lvl w:ilvl="0" w:tplc="80CC8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CD6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C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694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A4C2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7AE3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854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18C7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109A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5"/>
    <w:rsid w:val="0004376D"/>
    <w:rsid w:val="000511EF"/>
    <w:rsid w:val="0006726D"/>
    <w:rsid w:val="000D0251"/>
    <w:rsid w:val="00121744"/>
    <w:rsid w:val="001439A9"/>
    <w:rsid w:val="00192007"/>
    <w:rsid w:val="001D39C8"/>
    <w:rsid w:val="00240A51"/>
    <w:rsid w:val="00267A41"/>
    <w:rsid w:val="002823B7"/>
    <w:rsid w:val="0028558C"/>
    <w:rsid w:val="0029245D"/>
    <w:rsid w:val="002A032C"/>
    <w:rsid w:val="002A662E"/>
    <w:rsid w:val="002C3133"/>
    <w:rsid w:val="002E4D51"/>
    <w:rsid w:val="00337252"/>
    <w:rsid w:val="00392A30"/>
    <w:rsid w:val="003A06E4"/>
    <w:rsid w:val="003D154C"/>
    <w:rsid w:val="003D7DEB"/>
    <w:rsid w:val="003F0773"/>
    <w:rsid w:val="00433B35"/>
    <w:rsid w:val="00471021"/>
    <w:rsid w:val="00480C82"/>
    <w:rsid w:val="00495DF1"/>
    <w:rsid w:val="004C6CA4"/>
    <w:rsid w:val="00507926"/>
    <w:rsid w:val="005208BE"/>
    <w:rsid w:val="005352F2"/>
    <w:rsid w:val="005809C0"/>
    <w:rsid w:val="005D70F7"/>
    <w:rsid w:val="005E0788"/>
    <w:rsid w:val="006167FD"/>
    <w:rsid w:val="0064227D"/>
    <w:rsid w:val="00646351"/>
    <w:rsid w:val="00685F61"/>
    <w:rsid w:val="00693081"/>
    <w:rsid w:val="00696E1C"/>
    <w:rsid w:val="006B1E97"/>
    <w:rsid w:val="006C6B8E"/>
    <w:rsid w:val="00701F32"/>
    <w:rsid w:val="00712B68"/>
    <w:rsid w:val="00722E6F"/>
    <w:rsid w:val="00756C27"/>
    <w:rsid w:val="00766401"/>
    <w:rsid w:val="007664D3"/>
    <w:rsid w:val="0078756C"/>
    <w:rsid w:val="00794FC1"/>
    <w:rsid w:val="007B1DF5"/>
    <w:rsid w:val="007C43CD"/>
    <w:rsid w:val="007D2FD8"/>
    <w:rsid w:val="007F3B0C"/>
    <w:rsid w:val="008408A0"/>
    <w:rsid w:val="00881B23"/>
    <w:rsid w:val="008C41E8"/>
    <w:rsid w:val="008D6E33"/>
    <w:rsid w:val="008E7520"/>
    <w:rsid w:val="008F7B78"/>
    <w:rsid w:val="00901186"/>
    <w:rsid w:val="00933CEB"/>
    <w:rsid w:val="0093499F"/>
    <w:rsid w:val="009E6C25"/>
    <w:rsid w:val="009F40F8"/>
    <w:rsid w:val="00A11CA9"/>
    <w:rsid w:val="00A95A09"/>
    <w:rsid w:val="00AC4C08"/>
    <w:rsid w:val="00AD6E0E"/>
    <w:rsid w:val="00AD7A0E"/>
    <w:rsid w:val="00AF4F46"/>
    <w:rsid w:val="00B1264B"/>
    <w:rsid w:val="00B32C25"/>
    <w:rsid w:val="00B47505"/>
    <w:rsid w:val="00B53BB9"/>
    <w:rsid w:val="00B9148D"/>
    <w:rsid w:val="00BA6924"/>
    <w:rsid w:val="00C04698"/>
    <w:rsid w:val="00C1033E"/>
    <w:rsid w:val="00C707F6"/>
    <w:rsid w:val="00CA14A8"/>
    <w:rsid w:val="00CC2617"/>
    <w:rsid w:val="00CE3BF7"/>
    <w:rsid w:val="00D03EE6"/>
    <w:rsid w:val="00D365A3"/>
    <w:rsid w:val="00D56370"/>
    <w:rsid w:val="00D802B4"/>
    <w:rsid w:val="00DB34C7"/>
    <w:rsid w:val="00DC302D"/>
    <w:rsid w:val="00DD2DA8"/>
    <w:rsid w:val="00DD41D5"/>
    <w:rsid w:val="00E34108"/>
    <w:rsid w:val="00E47098"/>
    <w:rsid w:val="00EB3422"/>
    <w:rsid w:val="00EB69CB"/>
    <w:rsid w:val="00EC6AEE"/>
    <w:rsid w:val="00ED3E36"/>
    <w:rsid w:val="00EE5810"/>
    <w:rsid w:val="00EF3023"/>
    <w:rsid w:val="00F006D3"/>
    <w:rsid w:val="00F15D36"/>
    <w:rsid w:val="00F22A3C"/>
    <w:rsid w:val="00F23988"/>
    <w:rsid w:val="00F34092"/>
    <w:rsid w:val="00F46395"/>
    <w:rsid w:val="00F57B3F"/>
    <w:rsid w:val="00F8336E"/>
    <w:rsid w:val="00F840C1"/>
    <w:rsid w:val="00F9059B"/>
    <w:rsid w:val="00FA19D8"/>
    <w:rsid w:val="00FA1D43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7CDE"/>
  <w15:docId w15:val="{841AB9FD-2076-4F49-A42D-44C29A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</a:t>
            </a:r>
            <a:r>
              <a:rPr lang="ru-RU" sz="1800" b="1" i="0" u="none" strike="noStrike" baseline="0">
                <a:effectLst/>
              </a:rPr>
              <a:t>августе </a:t>
            </a:r>
            <a:r>
              <a:rPr lang="ru-RU"/>
              <a:t>2025 года в сравнении с </a:t>
            </a:r>
            <a:r>
              <a:rPr lang="ru-RU" sz="1800" b="1" i="0" u="none" strike="noStrike" baseline="0">
                <a:effectLst/>
              </a:rPr>
              <a:t>июлем </a:t>
            </a:r>
            <a:r>
              <a:rPr lang="ru-RU"/>
              <a:t>2025 года и </a:t>
            </a:r>
            <a:r>
              <a:rPr lang="ru-RU" sz="1800" b="1" i="0" u="none" strike="noStrike" baseline="0">
                <a:effectLst/>
              </a:rPr>
              <a:t>августом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539999999999999"/>
          <c:y val="4.3749999999999997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3-4589-8447-EC0778CE76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73-4589-8447-EC0778CE76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73-4589-8447-EC0778CE76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07325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7.8670000000000004E-2"/>
          <c:y val="4.4049999999999999E-2"/>
          <c:w val="0.90281"/>
          <c:h val="0.7465300000000000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2024г.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5.32400000000000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F-437C-BACE-F472A8403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4.6300000000000001E-2"/>
                  <c:y val="7.9299999999999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7F-437C-BACE-F472A8403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7F-437C-BACE-F472A8403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40762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 baseline="0">
                <a:effectLst/>
              </a:rPr>
              <a:t>августе</a:t>
            </a:r>
            <a:r>
              <a:rPr lang="ru-RU"/>
              <a:t> 2025 года в сравнении с </a:t>
            </a:r>
            <a:r>
              <a:rPr lang="ru-RU" sz="1800" b="1" i="0" u="none" strike="noStrike" baseline="0">
                <a:effectLst/>
              </a:rPr>
              <a:t>июлем</a:t>
            </a:r>
            <a:r>
              <a:rPr lang="ru-RU"/>
              <a:t> 2025 года и </a:t>
            </a:r>
            <a:r>
              <a:rPr lang="ru-RU" sz="1800" b="1" i="0" u="none" strike="noStrike" baseline="0">
                <a:effectLst/>
              </a:rPr>
              <a:t>августом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250000000000001"/>
          <c:y val="1.985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6-40E6-AF38-B0F977ECF1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47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6-40E6-AF38-B0F977ECF1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6-40E6-AF38-B0F977ECF1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18805096"/>
        <c:axId val="318805488"/>
        <c:axId val="0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216552" cy="3418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49D9-3204-437C-9644-00F1D184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Минтранс</cp:lastModifiedBy>
  <cp:revision>5</cp:revision>
  <dcterms:created xsi:type="dcterms:W3CDTF">2025-09-01T07:41:00Z</dcterms:created>
  <dcterms:modified xsi:type="dcterms:W3CDTF">2025-09-01T08:10:00Z</dcterms:modified>
</cp:coreProperties>
</file>