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4673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Утверждено приказом министерства транспорта и дорожного хозяйства 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 __________ № 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57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ПОЛОЖЕНИЕ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</w:r>
      <w:r>
        <w:rPr>
          <w:rFonts w:ascii="Times New Roman" w:hAnsi="Times New Roman" w:eastAsia="Calibri" w:cs="Times New Roman"/>
          <w:bCs/>
          <w:sz w:val="28"/>
          <w:szCs w:val="28"/>
          <w:highlight w:val="none"/>
        </w:rPr>
        <w:t xml:space="preserve">о комиссии </w:t>
      </w:r>
      <w:r>
        <w:rPr>
          <w:rFonts w:ascii="Times New Roman" w:hAnsi="Times New Roman" w:eastAsia="Calibri" w:cs="Times New Roman"/>
          <w:bCs/>
          <w:sz w:val="28"/>
          <w:szCs w:val="28"/>
          <w:highlight w:val="white"/>
        </w:rPr>
        <w:t xml:space="preserve">по инвентаризации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улично-дорожной сети опорных населенных пунктов и оценки их технического состояния, определения границ населенных пунктов Новосибирской области</w:t>
      </w:r>
      <w:r>
        <w:rPr>
          <w:rFonts w:ascii="Times New Roman" w:hAnsi="Times New Roman" w:eastAsia="Times New Roman" w:cs="Times New Roman"/>
          <w:b/>
          <w:color w:val="000000"/>
          <w:sz w:val="28"/>
        </w:rPr>
      </w:r>
      <w:r/>
    </w:p>
    <w:p>
      <w:pPr>
        <w:ind w:left="0" w:right="57" w:firstLine="0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I. Общие положения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1. Положение </w:t>
      </w:r>
      <w:r>
        <w:rPr>
          <w:rFonts w:ascii="Times New Roman" w:hAnsi="Times New Roman" w:eastAsia="Calibri" w:cs="Times New Roman"/>
          <w:bCs/>
          <w:sz w:val="28"/>
          <w:szCs w:val="28"/>
          <w:highlight w:val="white"/>
        </w:rPr>
        <w:t xml:space="preserve"> по инвентаризации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улично-дорожной сети опорных населенных пунктов и оценки их технического состояния, определения границ населенных пунктов Новосибирской области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(далее – Положение) определяет задачи, функции, полномочия, структуру и организацию деятельности Комиссии.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 Комиссия по указанному в п. 1 Положения направлению является постоянно действующим коллегиальным органом, принимающим ключевые решения в отношении инвентаризации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улично-дорожной сети опорных населенных пунктов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 Состав и положение Комиссии утверждается Приказом министерства транспорта и дорожного хозяйства Новосибирской области.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4. В своей деятельности комитет руководствуется Конституцией Российской Федерации, федеральными законами, правовыми актами Президента Российской Федерации и Правительства Российской Федерации, Уставом Новосибирской области, законами Новосибирской области,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постановлениями, распоряжениями Губернатора Новосибирской области и Правительства Новосибирской области, а также настоящим Положением.</w:t>
      </w:r>
      <w:r/>
    </w:p>
    <w:p>
      <w:pPr>
        <w:ind w:left="0" w:right="0" w:firstLine="709"/>
        <w:jc w:val="center"/>
        <w:spacing w:after="0"/>
        <w:tabs>
          <w:tab w:val="left" w:pos="294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0"/>
        <w:jc w:val="center"/>
        <w:spacing w:after="0"/>
        <w:tabs>
          <w:tab w:val="left" w:pos="294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II. Задачи и функции Комиссии</w:t>
      </w:r>
      <w:r/>
    </w:p>
    <w:p>
      <w:pPr>
        <w:ind w:left="0" w:right="0" w:firstLine="0"/>
        <w:jc w:val="center"/>
        <w:spacing w:after="0"/>
        <w:tabs>
          <w:tab w:val="left" w:pos="294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709"/>
        <w:jc w:val="both"/>
        <w:spacing w:after="0"/>
        <w:tabs>
          <w:tab w:val="left" w:pos="294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5. Основными задачами Комиссии являются:</w:t>
      </w:r>
      <w:r/>
    </w:p>
    <w:p>
      <w:pPr>
        <w:ind w:left="0" w:right="0" w:firstLine="709"/>
        <w:jc w:val="both"/>
        <w:spacing w:after="0"/>
        <w:tabs>
          <w:tab w:val="left" w:pos="294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1) проведение инвентаризации улично-дорожной сети опорных населенных пунктов Новосибирской области;</w:t>
      </w:r>
      <w:r/>
    </w:p>
    <w:p>
      <w:pPr>
        <w:ind w:left="0" w:right="0" w:firstLine="709"/>
        <w:jc w:val="both"/>
        <w:spacing w:after="0"/>
        <w:tabs>
          <w:tab w:val="left" w:pos="294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2) формирование улично-дорожной сети опорных населенных пунктов Новосибирской области.</w:t>
      </w:r>
      <w:r/>
    </w:p>
    <w:p>
      <w:pPr>
        <w:ind w:left="0" w:right="0" w:firstLine="709"/>
        <w:jc w:val="both"/>
        <w:spacing w:after="0"/>
        <w:tabs>
          <w:tab w:val="left" w:pos="294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7. Полномочия Комиссии: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1) проведение инвентаризации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улично-дорожной сети опорных населенных пунктов Новосибирской области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2)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принятие решений по включению дорог в улично-дорожную сеть опорного населенного пункта.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8. Функции Комиссии: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1)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проводить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мероприятия по уточнению информации о наименованиях автомобильных дорог,</w:t>
      </w:r>
      <w: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их протяженности, идентификационных номерах, значении в системе контроля</w:t>
      </w:r>
      <w: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за формированием и использованием средств дорожных фондов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геометрических параметрах автомобильных дорог, типах и состоянии</w:t>
      </w:r>
      <w: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покрытий и данных о техническом состоянии автомобильных дорог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</w:rPr>
      </w:r>
      <w:r/>
    </w:p>
    <w:p>
      <w:pPr>
        <w:ind w:left="0" w:right="0" w:firstLine="709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2) проводить оценку технического состояния улично дорожной сети опорного населенного пункта;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after="0"/>
        <w:rPr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3)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принимать решения по включению автомобильной  дороги в улично-дорожную сеть опорного населенного пункта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0" w:right="0" w:firstLine="709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III. Структура и организация деятельности Комиссии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9. Комиссия формируется в составе председателя Комиссии, заместителя председателя Комиссии, секретаря Комиссии, членов Комиссии.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Членами Комиссии могут быть члены Правительства Новосибирской области, руководители и заместители руководителей областных исполнительных органов Новосибирской области, государственных органов Новосибирской области,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представители иных органов и организаций.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10. Председателем Комиссии является министр транспорта и дорожного хозяйства Новосибирской области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11. Секретарь Комиссии определяется председателем Комиссии.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12. Председатель Комиссии: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1) организует и контролирует работу Комиссии;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2) утверждает повестку заседаний Комиссии;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3) подписывает протоколы заседаний Комиссии;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4) принимает решение о привлечении к участию в заседаниях Комиссии без права голоса лиц, не являющихся членами комитета;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5) отвечает за выполнение Комиссией функций, определенных настоящим Положением;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6) пользуется всеми правами, предоставленными членам Комиссии, с учетом дополнительных полномочий, предоставленных ему в соответствии с настоящим Положением.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13. В период временного отсутствия председателя Комиссии исполнение его обязанностей возлагается на заместителя председателя.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14. Секретарь Комиссии: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1) формирует повестку заседания Комиссии и утверждает ее у председателя;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2) уведомляет членов Комиссии и приглашенных о дате, времени, месте и повестке заседаний;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3) рассылает членам Комиссии и приглашенным материалы к заседаниям;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4) готовит протоколы заседаний и подписывает их у председателя;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5) рассылает протоколы всем участникам заседаний;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6) организует заочные голосования;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7) выполняет иную оперативную работу в период между заседаниями.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15. Члены Комиссии: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1) участвуют в заседаниях и в обсуждении рассматриваемых вопросов;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2) выступают с докладами на заседаниях;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3) представляют на рассмотрение Комиссии документы и материалы по обсуждаемым вопросам;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4) выполняют поручения председателя Комиссии, связанные с осуществлением деятельности в качестве члена Комиссии, а также решения Комиссии;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5) участвуют в выработке и принятии решений Комиссии.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16. Заседания Комиссии проводятся по решению председателя Комиссии.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17. Председательствующим на заседаниях Комиссии является председатель Комиссии, а в его отсутствие заместитель председателя Комиссии.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18. Правом голоса по вопросам, отнесенным к полномочиям Комиссии, обладают исключительно председатель Комиссии, заместитель председателя Комиссии и члены Комиссии.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Секретарь и приглашенные лица не имеют права голоса при принятии решений Комиссией. 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19. Вынесение вопросов на заседания Комиссии осуществляется: 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1) по инициативе любого члена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Комиссии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;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20. В случае невозможности участия в заседании член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Комиссии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обязан сообщить об этом секретарю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Комиссии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не позднее, чем за один рабочий день до установленной даты проведения заседания, с указанием лица, уполном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оченного к участию в заседании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Комиссии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 Лицо, замещающее члена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Комиссии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, имеет право голоса. </w:t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21. Решения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Комиссии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принимаются по результатам открытого голосования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простым большинством голосов присутствующих на заседании членов комиссии</w:t>
      </w:r>
      <w: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оформляются протоколами комиссии.</w:t>
      </w:r>
      <w:r>
        <w:rPr>
          <w:rFonts w:ascii="Times New Roman" w:hAnsi="Times New Roman" w:eastAsia="Times New Roman" w:cs="Times New Roman"/>
          <w:color w:val="000000"/>
          <w:sz w:val="28"/>
        </w:rPr>
      </w:r>
      <w:r/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22. Решение Комиссии считается принятым, если за него проголосовало более половины от персонального состава Комиссии. При этом голос председателя Комиссии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или, в его отсутствие, – заместителя председателя Комиссии, председательствующего на заседании Комиссии, является решающим при равенстве голосов, поданных «за» и «против».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При несогласии с принятым решением комиссии член комиссии излагает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особое мнение, которое прилагается к протоколу заседания комиссии.</w:t>
      </w:r>
      <w:r>
        <w:rPr>
          <w:rFonts w:ascii="Times New Roman" w:hAnsi="Times New Roman" w:eastAsia="Times New Roman" w:cs="Times New Roman"/>
          <w:color w:val="000000"/>
          <w:sz w:val="28"/>
        </w:rPr>
      </w:r>
      <w:r/>
    </w:p>
    <w:p>
      <w:pPr>
        <w:ind w:left="0" w:right="0" w:firstLine="709"/>
        <w:jc w:val="both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23. Председатель Комиссии (в его отсутствие – заместитель председателя Комиссии) обладает правом вето при голосовании по вопросу.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24. 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Результаты проведения инвентаризации оформляются протоколом комиссии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 приложением информации, обосновывающей решения комиссии.</w:t>
      </w:r>
      <w:r>
        <w:rPr>
          <w:rFonts w:ascii="Times New Roman" w:hAnsi="Times New Roman" w:eastAsia="Times New Roman" w:cs="Times New Roman"/>
          <w:color w:val="000000"/>
          <w:sz w:val="28"/>
        </w:rPr>
      </w:r>
      <w:r/>
    </w:p>
    <w:p>
      <w:pPr>
        <w:ind w:left="0" w:right="0" w:firstLine="709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709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709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-851" w:right="-284" w:firstLine="851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eastAsia="Times New Roman"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3"/>
    <w:next w:val="833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4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3"/>
    <w:next w:val="833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4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4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4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4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4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4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4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3"/>
    <w:next w:val="833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4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3"/>
    <w:next w:val="83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4"/>
    <w:link w:val="677"/>
    <w:uiPriority w:val="10"/>
    <w:rPr>
      <w:sz w:val="48"/>
      <w:szCs w:val="48"/>
    </w:rPr>
  </w:style>
  <w:style w:type="paragraph" w:styleId="679">
    <w:name w:val="Subtitle"/>
    <w:basedOn w:val="833"/>
    <w:next w:val="833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4"/>
    <w:link w:val="679"/>
    <w:uiPriority w:val="11"/>
    <w:rPr>
      <w:sz w:val="24"/>
      <w:szCs w:val="24"/>
    </w:rPr>
  </w:style>
  <w:style w:type="paragraph" w:styleId="681">
    <w:name w:val="Quote"/>
    <w:basedOn w:val="833"/>
    <w:next w:val="833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3"/>
    <w:next w:val="833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4"/>
    <w:link w:val="685"/>
    <w:uiPriority w:val="99"/>
  </w:style>
  <w:style w:type="paragraph" w:styleId="687">
    <w:name w:val="Footer"/>
    <w:basedOn w:val="833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4"/>
    <w:link w:val="687"/>
    <w:uiPriority w:val="99"/>
  </w:style>
  <w:style w:type="paragraph" w:styleId="689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>
    <w:name w:val="Caption Char"/>
    <w:basedOn w:val="689"/>
    <w:link w:val="687"/>
    <w:uiPriority w:val="99"/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List Paragraph"/>
    <w:basedOn w:val="833"/>
    <w:uiPriority w:val="34"/>
    <w:qFormat/>
    <w:pPr>
      <w:contextualSpacing/>
      <w:ind w:left="720"/>
    </w:pPr>
  </w:style>
  <w:style w:type="paragraph" w:styleId="838">
    <w:name w:val="Normal (Web)"/>
    <w:basedOn w:val="833"/>
    <w:uiPriority w:val="99"/>
    <w:unhideWhenUsed/>
    <w:rPr>
      <w:rFonts w:ascii="Times New Roman" w:hAnsi="Times New Roman" w:cs="Times New Roman"/>
      <w:sz w:val="24"/>
      <w:szCs w:val="24"/>
    </w:rPr>
  </w:style>
  <w:style w:type="table" w:styleId="839">
    <w:name w:val="Table Grid"/>
    <w:basedOn w:val="83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0">
    <w:name w:val="Balloon Text"/>
    <w:basedOn w:val="833"/>
    <w:link w:val="84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1" w:customStyle="1">
    <w:name w:val="Текст выноски Знак"/>
    <w:basedOn w:val="834"/>
    <w:link w:val="840"/>
    <w:uiPriority w:val="99"/>
    <w:semiHidden/>
    <w:rPr>
      <w:rFonts w:ascii="Segoe UI" w:hAnsi="Segoe UI" w:cs="Segoe UI"/>
      <w:sz w:val="18"/>
      <w:szCs w:val="18"/>
    </w:rPr>
  </w:style>
  <w:style w:type="character" w:styleId="842">
    <w:name w:val="Hyperlink"/>
    <w:basedOn w:val="834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2DF999-51C0-48CF-A8D1-44EB6BDC0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dorohov-al</dc:creator>
  <cp:keywords/>
  <dc:description/>
  <cp:revision>8</cp:revision>
  <dcterms:created xsi:type="dcterms:W3CDTF">2019-06-11T08:31:00Z</dcterms:created>
  <dcterms:modified xsi:type="dcterms:W3CDTF">2025-06-19T14:08:38Z</dcterms:modified>
</cp:coreProperties>
</file>