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 квартале 2026 года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обращений и принятых мер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Минтранса, а такж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в форме электронного документа на официальный сайт министерства, либо на электронную почту. Личные обращения граждан рассматриваются на личных приемах, проводимых министром транспорта и дорожного хозяйства Новосибирской 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62"/>
          <w:rFonts w:ascii="Times New Roman" w:hAnsi="Times New Roman"/>
          <w:b w:val="0"/>
          <w:bCs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01.04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.2026 по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транспорта и дорожного хозяйства Новосибирской области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421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данном квартале увеличилось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первым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2026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на 27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89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</w:t>
      </w:r>
      <w:r/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со вторым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уменьшилось на 16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83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</w:t>
      </w:r>
      <w:r>
        <w:rPr>
          <w:rStyle w:val="862"/>
          <w:rFonts w:ascii="Times New Roman" w:hAnsi="Times New Roman"/>
          <w:b w:val="0"/>
          <w:bCs/>
          <w:color w:val="ff0000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ff0000"/>
          <w:sz w:val="28"/>
          <w:szCs w:val="28"/>
        </w:rPr>
      </w:r>
    </w:p>
    <w:p>
      <w:pPr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ind w:firstLine="720"/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943634" w:themeColor="accent2" w:themeShade="BF"/>
          <w:sz w:val="28"/>
          <w:szCs w:val="28"/>
          <w:lang w:eastAsia="ru-RU"/>
        </w:rPr>
        <w:drawing>
          <wp:inline distT="0" distB="0" distL="0" distR="0">
            <wp:extent cx="6003228" cy="2401287"/>
            <wp:effectExtent l="4762" t="4762" r="4762" b="4762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           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Cs/>
          <w:color w:val="ff000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из управления по работе с обращениями граждан - общественной приемной Губернатора области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Статистика показывает, что количество поступивших обращений из общественной приемной Губернатора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увеличилось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первым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на 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23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со вторым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прошлого года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57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123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328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непосредственно в министерство,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262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288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увеличилось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первым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25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% (на 66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 вторым </w:t>
      </w:r>
      <w:r>
        <w:rPr>
          <w:rStyle w:val="862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прошлого года 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6494" cy="3133719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поступивших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 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405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 обращений,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330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 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письменных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увеличилось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первым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вторым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уменьшилось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96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220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В 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было 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142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квартале 202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443</w:t>
      </w:r>
      <w:r>
        <w:rPr>
          <w:rStyle w:val="862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Количество заявлений в данном квартале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первым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55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78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вторым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на 50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%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(на 223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заявлени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я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tabs>
          <w:tab w:val="left" w:pos="876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текущего года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зарегистрировано </w:t>
      </w:r>
      <w:r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устных обращений, в первом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во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прошло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устных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текущего года на личн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приеме у министра было принято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 квартале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37058" cy="3524606"/>
            <wp:effectExtent l="3175" t="3175" r="3175" b="3175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электронной почте проступ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Данная статистика показыва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ет, что в сравнении 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</w:t>
      </w:r>
      <w:r>
        <w:rPr>
          <w:rStyle w:val="862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жалоб уменьшилось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вторым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372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134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смс-с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ообщению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2026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57992" cy="3924294"/>
            <wp:effectExtent l="4762" t="4762" r="4762" b="4762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рассмотрены в соответствии с Федеральным законом от 02.05.2006 № 59-ФЗ «О порядке рассмотрения обращений граждан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12.04.2017 № 60.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осибирской области позволила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квартале 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709" w:right="993" w:bottom="28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3"/>
    <w:link w:val="706"/>
    <w:uiPriority w:val="10"/>
    <w:rPr>
      <w:sz w:val="48"/>
      <w:szCs w:val="48"/>
    </w:rPr>
  </w:style>
  <w:style w:type="character" w:styleId="678">
    <w:name w:val="Subtitle Char"/>
    <w:basedOn w:val="693"/>
    <w:link w:val="708"/>
    <w:uiPriority w:val="11"/>
    <w:rPr>
      <w:sz w:val="24"/>
      <w:szCs w:val="24"/>
    </w:rPr>
  </w:style>
  <w:style w:type="character" w:styleId="679">
    <w:name w:val="Quote Char"/>
    <w:link w:val="710"/>
    <w:uiPriority w:val="29"/>
    <w:rPr>
      <w:i/>
    </w:rPr>
  </w:style>
  <w:style w:type="character" w:styleId="680">
    <w:name w:val="Intense Quote Char"/>
    <w:link w:val="712"/>
    <w:uiPriority w:val="30"/>
    <w:rPr>
      <w:i/>
    </w:rPr>
  </w:style>
  <w:style w:type="character" w:styleId="681">
    <w:name w:val="Footnote Text Char"/>
    <w:link w:val="844"/>
    <w:uiPriority w:val="99"/>
    <w:rPr>
      <w:sz w:val="18"/>
    </w:rPr>
  </w:style>
  <w:style w:type="character" w:styleId="682">
    <w:name w:val="Endnote Text Char"/>
    <w:link w:val="847"/>
    <w:uiPriority w:val="99"/>
    <w:rPr>
      <w:sz w:val="20"/>
    </w:rPr>
  </w:style>
  <w:style w:type="paragraph" w:styleId="683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83"/>
    <w:next w:val="68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3"/>
    <w:uiPriority w:val="99"/>
  </w:style>
  <w:style w:type="character" w:styleId="715" w:customStyle="1">
    <w:name w:val="Footer Char"/>
    <w:basedOn w:val="693"/>
    <w:uiPriority w:val="99"/>
  </w:style>
  <w:style w:type="paragraph" w:styleId="716">
    <w:name w:val="Caption"/>
    <w:basedOn w:val="683"/>
    <w:next w:val="683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9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0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683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3"/>
    <w:uiPriority w:val="99"/>
    <w:unhideWhenUsed/>
    <w:rPr>
      <w:vertAlign w:val="superscript"/>
    </w:rPr>
  </w:style>
  <w:style w:type="paragraph" w:styleId="847">
    <w:name w:val="endnote text"/>
    <w:basedOn w:val="683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3"/>
    <w:uiPriority w:val="99"/>
    <w:semiHidden/>
    <w:unhideWhenUsed/>
    <w:rPr>
      <w:vertAlign w:val="superscript"/>
    </w:rPr>
  </w:style>
  <w:style w:type="paragraph" w:styleId="850">
    <w:name w:val="toc 1"/>
    <w:basedOn w:val="683"/>
    <w:next w:val="683"/>
    <w:uiPriority w:val="39"/>
    <w:unhideWhenUsed/>
    <w:pPr>
      <w:spacing w:after="57"/>
    </w:pPr>
  </w:style>
  <w:style w:type="paragraph" w:styleId="851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2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3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4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5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6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7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8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3"/>
    <w:next w:val="683"/>
    <w:uiPriority w:val="99"/>
    <w:unhideWhenUsed/>
  </w:style>
  <w:style w:type="paragraph" w:styleId="861">
    <w:name w:val="List Paragraph"/>
    <w:basedOn w:val="683"/>
    <w:uiPriority w:val="34"/>
    <w:qFormat/>
    <w:pPr>
      <w:contextualSpacing/>
      <w:ind w:left="720"/>
    </w:pPr>
  </w:style>
  <w:style w:type="character" w:styleId="862">
    <w:name w:val="Strong"/>
    <w:basedOn w:val="693"/>
    <w:uiPriority w:val="22"/>
    <w:qFormat/>
    <w:rPr>
      <w:rFonts w:cs="Times New Roman"/>
      <w:b/>
    </w:rPr>
  </w:style>
  <w:style w:type="paragraph" w:styleId="863">
    <w:name w:val="Balloon Text"/>
    <w:basedOn w:val="683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693"/>
    <w:link w:val="863"/>
    <w:uiPriority w:val="99"/>
    <w:semiHidden/>
    <w:rPr>
      <w:rFonts w:ascii="Tahoma" w:hAnsi="Tahoma" w:cs="Tahoma"/>
      <w:sz w:val="16"/>
      <w:szCs w:val="16"/>
    </w:rPr>
  </w:style>
  <w:style w:type="table" w:styleId="865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Header"/>
    <w:basedOn w:val="683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693"/>
    <w:link w:val="866"/>
    <w:uiPriority w:val="99"/>
    <w:rPr>
      <w:rFonts w:ascii="Calibri" w:hAnsi="Calibri" w:cs="Calibri"/>
    </w:rPr>
  </w:style>
  <w:style w:type="paragraph" w:styleId="868">
    <w:name w:val="Footer"/>
    <w:basedOn w:val="683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693"/>
    <w:link w:val="868"/>
    <w:uiPriority w:val="99"/>
    <w:rPr>
      <w:rFonts w:ascii="Calibri" w:hAnsi="Calibri" w:cs="Calibri"/>
    </w:rPr>
  </w:style>
  <w:style w:type="paragraph" w:styleId="870">
    <w:name w:val="Revision"/>
    <w:hidden/>
    <w:uiPriority w:val="99"/>
    <w:semiHidden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поступивших обращений в Минтранс НСО в</a:t>
            </a:r>
            <a:r>
              <a:rPr lang="ru-RU" sz="1200"/>
              <a:t>о втором квартале 2026 года в сравнении с первым </a:t>
            </a:r>
            <a:r>
              <a:rPr lang="ru-RU" sz="1200"/>
              <a:t>кварталом 2026 года  </a:t>
            </a:r>
            <a:endParaRPr lang="ru-RU"/>
          </a:p>
          <a:p>
            <a:pPr>
              <a:defRPr/>
            </a:pPr>
            <a:r>
              <a:rPr lang="ru-RU" sz="1200"/>
              <a:t>и вторым кварталом 2025 года  </a:t>
            </a:r>
            <a:endParaRPr lang="ru-RU"/>
          </a:p>
        </c:rich>
      </c:tx>
      <c:layout>
        <c:manualLayout>
          <c:xMode val="edge"/>
          <c:yMode val="edge"/>
          <c:x val="0.126510"/>
          <c:y val="0.037010"/>
        </c:manualLayout>
      </c:layout>
      <c:overlay val="0"/>
    </c:title>
    <c:autoTitleDeleted val="0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поступивших обращений</c:v>
                </c:pt>
              </c:strCache>
            </c:strRef>
          </c:tx>
          <c:dLbls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2 квартал 2026 года</c:v>
                </c:pt>
                <c:pt idx="2">
                  <c:v xml:space="preserve">1 квартал 2026 года</c:v>
                </c:pt>
                <c:pt idx="3">
                  <c:v xml:space="preserve">2 квартал 2025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421</c:v>
                </c:pt>
                <c:pt idx="2">
                  <c:v>332</c:v>
                </c:pt>
                <c:pt idx="3">
                  <c:v>504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128530"/>
          <c:y val="0.31182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03227" cy="2401286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обращений поступивших в адрес Минтранса НСО во втором </a:t>
            </a:r>
            <a:r>
              <a:rPr lang="ru-RU" sz="1200"/>
              <a:t>квартале 2026 года, в сравнении с </a:t>
            </a:r>
            <a:r>
              <a:rPr lang="ru-RU" sz="1200"/>
              <a:t>первым </a:t>
            </a:r>
            <a:r>
              <a:rPr lang="ru-RU" sz="1200"/>
              <a:t>кварталом 2026 года и вторым </a:t>
            </a:r>
            <a:endParaRPr lang="ru-RU" sz="1200"/>
          </a:p>
          <a:p>
            <a:pPr>
              <a:defRPr/>
            </a:pPr>
            <a:r>
              <a:rPr lang="ru-RU" sz="1200"/>
              <a:t>кварталом 2025 года</a:t>
            </a:r>
            <a:endParaRPr/>
          </a:p>
        </c:rich>
      </c:tx>
      <c:layout>
        <c:manualLayout>
          <c:xMode val="edge"/>
          <c:yMode val="edge"/>
          <c:x val="0.134290"/>
          <c:y val="0.01725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 квартал 2026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93</c:v>
                </c:pt>
                <c:pt idx="2">
                  <c:v>328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1 квартал 2026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70</c:v>
                </c:pt>
                <c:pt idx="2">
                  <c:v>262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2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216</c:v>
                </c:pt>
                <c:pt idx="2">
                  <c:v>288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95"/>
        <c:gapDepth val="95"/>
        <c:shape val="cylinder"/>
        <c:axId val="73373184"/>
        <c:axId val="73374720"/>
      </c:bar3DChart>
      <c:catAx>
        <c:axId val="73373184"/>
        <c:scaling>
          <c:orientation val="minMax"/>
        </c:scaling>
        <c:delete val="0"/>
        <c:axPos val="l"/>
        <c:majorGridlines>
          <c:spPr bwMode="auto"/>
        </c:majorGridlines>
        <c:minorGridlines>
          <c:spPr bwMode="auto"/>
        </c:minorGridlines>
        <c:numFmt formatCode="General" sourceLinked="0"/>
        <c:majorTickMark val="none"/>
        <c:minorTickMark val="none"/>
        <c:tickLblPos val="nextTo"/>
        <c:crossAx val="73374720"/>
        <c:crosses val="autoZero"/>
        <c:auto val="1"/>
        <c:lblAlgn val="ctr"/>
        <c:lblOffset val="100"/>
        <c:noMultiLvlLbl val="0"/>
      </c:catAx>
      <c:valAx>
        <c:axId val="73374720"/>
        <c:scaling>
          <c:orientation val="minMax"/>
        </c:scaling>
        <c:delete val="1"/>
        <c:axPos val="b"/>
        <c:majorGridlines>
          <c:spPr bwMode="auto"/>
        </c:majorGridlines>
        <c:minorGridlines>
          <c:spPr bwMode="auto"/>
        </c:minorGridlines>
        <c:numFmt formatCode="General" sourceLinked="1"/>
        <c:majorTickMark val="out"/>
        <c:minorTickMark val="none"/>
        <c:tickLblPos val="none"/>
        <c:crossAx val="73373184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t"/>
      <c:legendEntry>
        <c:idx val="3"/>
        <c:delete val="1"/>
      </c:legendEntry>
      <c:layout/>
      <c:overlay val="0"/>
      <c:txPr>
        <a:bodyPr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86493" cy="3133718"/>
    </a:xfrm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Виды поступивших обращений в</a:t>
            </a:r>
            <a:r>
              <a:rPr lang="ru-RU" sz="1200"/>
              <a:t>о втором квартале 2026 года в сравнении с </a:t>
            </a:r>
            <a:r>
              <a:rPr lang="ru-RU" sz="1200"/>
              <a:t>первым </a:t>
            </a:r>
            <a:r>
              <a:rPr lang="ru-RU" sz="1200"/>
              <a:t>кварталом 2026 года и вторым </a:t>
            </a:r>
            <a:r>
              <a:rPr lang="ru-RU" sz="1200"/>
              <a:t>кварталом 2025 года</a:t>
            </a:r>
            <a:r>
              <a:rPr lang="ru-RU"/>
              <a:t> </a:t>
            </a:r>
            <a:endParaRPr/>
          </a:p>
        </c:rich>
      </c:tx>
      <c:layout>
        <c:manualLayout>
          <c:xMode val="edge"/>
          <c:yMode val="edge"/>
          <c:x val="0.124000"/>
          <c:y val="0.022030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166990"/>
          <c:y val="0.282270"/>
          <c:w val="0.729940"/>
          <c:h val="0.53822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 квартал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405</c:v>
                </c:pt>
                <c:pt idx="1">
                  <c:v>10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1 квартал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330</c:v>
                </c:pt>
                <c:pt idx="1">
                  <c:v>0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2 квартал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501</c:v>
                </c:pt>
                <c:pt idx="1">
                  <c:v>0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84"/>
        <c:gapDepth val="53"/>
        <c:shape val="cone"/>
        <c:axId val="86335891"/>
        <c:axId val="86335892"/>
      </c:bar3DChart>
      <c:catAx>
        <c:axId val="863358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lt1">
                    <a:lumMod val="7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86335892"/>
        <c:crosses val="autoZero"/>
        <c:auto val="1"/>
        <c:lblAlgn val="ctr"/>
        <c:lblOffset val="100"/>
        <c:noMultiLvlLbl val="0"/>
      </c:catAx>
      <c:valAx>
        <c:axId val="863358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335891"/>
        <c:crosses val="autoZero"/>
        <c:crossBetween val="between"/>
      </c:val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solidFill>
            <a:schemeClr val="dk1">
              <a:lumMod val="75000"/>
              <a:lumOff val="25000"/>
            </a:schemeClr>
          </a:solidFill>
          <a:ln w="6350" cap="flat" cmpd="sng" algn="ctr">
            <a:solidFill>
              <a:schemeClr val="dk1">
                <a:tint val="75000"/>
              </a:schemeClr>
            </a:solidFill>
            <a:round/>
          </a:ln>
        </c:spPr>
        <c:txPr>
          <a:bodyPr/>
          <a:lstStyle/>
          <a:p>
            <a:pPr>
              <a:defRPr sz="10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837057" cy="3524605"/>
    </a:xfrm>
    <a:prstGeom prst="rect">
      <a:avLst/>
    </a:prstGeom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</c:spPr>
  <c:txPr>
    <a:bodyPr/>
    <a:lstStyle/>
    <a:p>
      <a:pPr>
        <a:defRPr sz="1000"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Виды обращений поступивших в адрес Минтранса НСО </a:t>
            </a:r>
            <a:r>
              <a:rPr lang="ru-RU" sz="1400" b="1" i="0" u="none" strike="noStrike"/>
              <a:t>во втором </a:t>
            </a:r>
            <a:r>
              <a:rPr lang="ru-RU" sz="1400"/>
              <a:t>квартале 2026 года в сравнении с первым кварталом 2026 года и </a:t>
            </a:r>
            <a:r>
              <a:rPr lang="ru-RU" sz="1400"/>
              <a:t>вторым </a:t>
            </a:r>
            <a:r>
              <a:rPr lang="ru-RU" sz="1400"/>
              <a:t>кварталом 2025 года</a:t>
            </a:r>
            <a:endParaRPr lang="ru-RU" sz="1400"/>
          </a:p>
        </c:rich>
      </c:tx>
      <c:layout>
        <c:manualLayout>
          <c:xMode val="edge"/>
          <c:yMode val="edge"/>
          <c:x val="0.140370"/>
          <c:y val="0.04379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 квартал 2026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220</c:v>
                </c:pt>
                <c:pt idx="1">
                  <c:v>170</c:v>
                </c:pt>
                <c:pt idx="2">
                  <c:v>3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1 квартал 2026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142</c:v>
                </c:pt>
                <c:pt idx="1">
                  <c:v>175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2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443</c:v>
                </c:pt>
                <c:pt idx="1">
                  <c:v>36</c:v>
                </c:pt>
                <c:pt idx="2">
                  <c:v>6</c:v>
                </c:pt>
                <c:pt idx="3">
                  <c:v>17</c:v>
                </c:pt>
                <c:pt idx="4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cylinder"/>
        <c:axId val="86313600"/>
        <c:axId val="86335872"/>
      </c:bar3DChart>
      <c:catAx>
        <c:axId val="8631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335872"/>
        <c:crosses val="autoZero"/>
        <c:auto val="1"/>
        <c:lblAlgn val="ctr"/>
        <c:lblOffset val="100"/>
        <c:noMultiLvlLbl val="0"/>
      </c:catAx>
      <c:valAx>
        <c:axId val="8633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631360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 bwMode="auto">
    <a:xfrm>
      <a:off x="0" y="0"/>
      <a:ext cx="6857991" cy="3924293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E146-8939-4803-AD3A-4D3012E7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Ольга Евгеньевна</dc:creator>
  <cp:keywords/>
  <dc:description/>
  <cp:revision>7</cp:revision>
  <dcterms:created xsi:type="dcterms:W3CDTF">2025-10-01T05:24:00Z</dcterms:created>
  <dcterms:modified xsi:type="dcterms:W3CDTF">2026-07-02T08:47:59Z</dcterms:modified>
</cp:coreProperties>
</file>