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3" w:right="0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</w:t>
      </w:r>
      <w:r>
        <w:rPr>
          <w:rFonts w:ascii="Times New Roman" w:hAnsi="Times New Roman" w:cs="Times New Roman"/>
          <w:sz w:val="24"/>
          <w:szCs w:val="24"/>
        </w:rPr>
        <w:t xml:space="preserve">инистра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_____________Е.В. </w:t>
      </w:r>
      <w:r>
        <w:rPr>
          <w:rFonts w:ascii="Times New Roman" w:hAnsi="Times New Roman" w:cs="Times New Roman"/>
          <w:sz w:val="24"/>
          <w:szCs w:val="24"/>
        </w:rPr>
        <w:t xml:space="preserve">Тюрин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___________ 2024 г.</w:t>
      </w:r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ежмуниципально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маршрута</w:t>
      </w:r>
      <w:r>
        <w:rPr>
          <w:rFonts w:ascii="Times New Roman" w:hAnsi="Times New Roman" w:cs="Times New Roman"/>
          <w:sz w:val="28"/>
          <w:szCs w:val="28"/>
        </w:rPr>
        <w:t xml:space="preserve"> регулярн</w:t>
      </w:r>
      <w:r>
        <w:rPr>
          <w:rFonts w:ascii="Times New Roman" w:hAnsi="Times New Roman" w:cs="Times New Roman"/>
          <w:sz w:val="28"/>
          <w:szCs w:val="28"/>
        </w:rPr>
        <w:t xml:space="preserve">ых перевозок пригородного </w:t>
      </w:r>
      <w:r>
        <w:rPr>
          <w:rFonts w:ascii="Times New Roman" w:hAnsi="Times New Roman" w:cs="Times New Roman"/>
          <w:sz w:val="28"/>
          <w:szCs w:val="28"/>
        </w:rPr>
        <w:t xml:space="preserve"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№226 «м.Студенческая (г.Новосибирск) - п. Мичуринский»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(Рабочие дни)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59"/>
        <w:gridCol w:w="1701"/>
        <w:gridCol w:w="1417"/>
        <w:gridCol w:w="1843"/>
        <w:gridCol w:w="1668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выхода автобуса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следования  (</w:t>
            </w: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час-мин):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Количество оборотных рейсов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eastAsia="en-US"/>
              </w:rPr>
              <w:t xml:space="preserve">Начальный пункт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 xml:space="preserve">м.Студенческая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 xml:space="preserve">(г.Новосибирск)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contextualSpacing/>
              <w:jc w:val="center"/>
              <w:keepNext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Конечный пункт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 xml:space="preserve">п.Мичуринский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Прибытие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Отправление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Прибытие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Отправление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6-15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7-30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7-35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9-10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9-15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10-25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 (обед)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13-15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14-25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14-30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15-30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15-35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16-50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17-00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20-30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(в парк)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7-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8-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35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8-4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9-55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10-00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11-10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11-15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12-15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(обед)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4-00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5-05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5-10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16-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16-20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17-30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17-35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18-50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19-50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20-55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(в парк)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en-US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– начальник отдела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пассажирских перевозок УОПП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М.А.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Опицко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Е.В.</w:t>
      </w:r>
      <w:r>
        <w:rPr>
          <w:rFonts w:ascii="Times New Roman" w:hAnsi="Times New Roman" w:cs="Times New Roman"/>
          <w:sz w:val="28"/>
          <w:szCs w:val="28"/>
        </w:rPr>
        <w:t xml:space="preserve"> Катоманов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ind w:left="5953" w:right="0" w:firstLine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3" w:right="0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</w:t>
      </w:r>
      <w:r>
        <w:rPr>
          <w:rFonts w:ascii="Times New Roman" w:hAnsi="Times New Roman" w:cs="Times New Roman"/>
          <w:sz w:val="24"/>
          <w:szCs w:val="24"/>
        </w:rPr>
        <w:t xml:space="preserve">инистра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_____________Е.В. </w:t>
      </w:r>
      <w:r>
        <w:rPr>
          <w:rFonts w:ascii="Times New Roman" w:hAnsi="Times New Roman" w:cs="Times New Roman"/>
          <w:sz w:val="24"/>
          <w:szCs w:val="24"/>
        </w:rPr>
        <w:t xml:space="preserve">Тюрин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«___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___________ 2024 г.</w:t>
      </w:r>
      <w:r/>
      <w:r/>
    </w:p>
    <w:p>
      <w:pPr>
        <w:jc w:val="right"/>
        <w:spacing w:after="0" w:line="240" w:lineRule="auto"/>
      </w:pPr>
      <w:r/>
      <w:r/>
      <w:r/>
    </w:p>
    <w:p>
      <w:pPr>
        <w:jc w:val="right"/>
        <w:spacing w:after="0" w:line="240" w:lineRule="auto"/>
      </w:pPr>
      <w:r/>
      <w:r/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</w:t>
      </w:r>
      <w:r>
        <w:rPr>
          <w:rFonts w:ascii="Times New Roman" w:hAnsi="Times New Roman" w:cs="Times New Roman"/>
          <w:b/>
          <w:sz w:val="32"/>
          <w:szCs w:val="32"/>
        </w:rPr>
        <w:t xml:space="preserve">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ежмуниципально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маршрута</w:t>
      </w:r>
      <w:r>
        <w:rPr>
          <w:rFonts w:ascii="Times New Roman" w:hAnsi="Times New Roman" w:cs="Times New Roman"/>
          <w:sz w:val="28"/>
          <w:szCs w:val="28"/>
        </w:rPr>
        <w:t xml:space="preserve"> регулярн</w:t>
      </w:r>
      <w:r>
        <w:rPr>
          <w:rFonts w:ascii="Times New Roman" w:hAnsi="Times New Roman" w:cs="Times New Roman"/>
          <w:sz w:val="28"/>
          <w:szCs w:val="28"/>
        </w:rPr>
        <w:t xml:space="preserve">ых перевозок пригородного </w:t>
      </w:r>
      <w:r>
        <w:rPr>
          <w:rFonts w:ascii="Times New Roman" w:hAnsi="Times New Roman" w:cs="Times New Roman"/>
          <w:sz w:val="28"/>
          <w:szCs w:val="28"/>
        </w:rPr>
        <w:t xml:space="preserve">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№226 «м.Студенческая (г.Новосибирск) - п. Мичуринский»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(Выходные и праздничные дни)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559"/>
        <w:gridCol w:w="1701"/>
        <w:gridCol w:w="1417"/>
        <w:gridCol w:w="1843"/>
        <w:gridCol w:w="1668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выхода автобуса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Время </w:t>
            </w: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следования  (</w:t>
            </w: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час-мин):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Количество оборотных рейсов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  <w:t xml:space="preserve">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  <w:lang w:eastAsia="en-US"/>
              </w:rPr>
              <w:t xml:space="preserve">Начальный пункт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 xml:space="preserve">м.Студенческая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en-US"/>
              </w:rPr>
              <w:t xml:space="preserve">(г.Новосибирск)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contextualSpacing/>
              <w:jc w:val="center"/>
              <w:keepNext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Конечный пункт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r>
          </w:p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en-US"/>
              </w:rPr>
              <w:t xml:space="preserve">п.Мичуринский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Прибытие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Отправление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Прибытие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Отправление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6-45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7-55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8-00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9-10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9-15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10-25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 (обед)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13-15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14-25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14-30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15-30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15-35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16-50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17-00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20-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( в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 парк)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7-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8-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25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8-30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9-55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10-00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11-10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11-15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12-15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(обед)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4-00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5-05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5-10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val="en-US" w:eastAsia="en-US"/>
              </w:rPr>
              <w:t xml:space="preserve">16-</w:t>
            </w: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16-20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  <w:r>
              <w:rPr>
                <w:sz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17-30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17-35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18-50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18-55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19-50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19-55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20-55(в парк)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en-US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rPr>
                <w:rFonts w:ascii="Times New Roman" w:hAnsi="Times New Roman" w:cs="Times New Roman"/>
                <w:iCs/>
                <w:sz w:val="20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lang w:eastAsia="en-US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  <w:r>
              <w:rPr>
                <w:rFonts w:ascii="Times New Roman" w:hAnsi="Times New Roman" w:cs="Times New Roman"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  <w:r/>
    </w:p>
    <w:p>
      <w:pPr>
        <w:spacing w:after="0" w:line="240" w:lineRule="auto"/>
      </w:pPr>
      <w:r/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управления – начальник отдела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пассажирских перевозок УОПП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М.А.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Опицко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Е.В.</w:t>
      </w:r>
      <w:r>
        <w:rPr>
          <w:rFonts w:ascii="Times New Roman" w:hAnsi="Times New Roman" w:cs="Times New Roman"/>
          <w:sz w:val="28"/>
          <w:szCs w:val="28"/>
        </w:rPr>
        <w:t xml:space="preserve"> Катоманов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</w:pPr>
      <w:r/>
      <w:r/>
      <w:r/>
    </w:p>
    <w:p>
      <w:pPr>
        <w:spacing w:after="0" w:line="240" w:lineRule="auto"/>
      </w:pPr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4"/>
      </w:rPr>
    </w:pPr>
    <w:r>
      <w:rPr>
        <w:sz w:val="24"/>
      </w:rPr>
    </w:r>
    <w:r>
      <w:rPr>
        <w:sz w:val="24"/>
      </w:rPr>
    </w:r>
    <w:r>
      <w:rPr>
        <w:sz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1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1"/>
    <w:next w:val="841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2"/>
    <w:link w:val="686"/>
    <w:uiPriority w:val="10"/>
    <w:rPr>
      <w:sz w:val="48"/>
      <w:szCs w:val="48"/>
    </w:rPr>
  </w:style>
  <w:style w:type="paragraph" w:styleId="688">
    <w:name w:val="Subtitle"/>
    <w:basedOn w:val="841"/>
    <w:next w:val="841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2"/>
    <w:link w:val="688"/>
    <w:uiPriority w:val="11"/>
    <w:rPr>
      <w:sz w:val="24"/>
      <w:szCs w:val="24"/>
    </w:rPr>
  </w:style>
  <w:style w:type="paragraph" w:styleId="690">
    <w:name w:val="Quote"/>
    <w:basedOn w:val="841"/>
    <w:next w:val="841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1"/>
    <w:next w:val="841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2"/>
    <w:link w:val="848"/>
    <w:uiPriority w:val="99"/>
  </w:style>
  <w:style w:type="character" w:styleId="695">
    <w:name w:val="Footer Char"/>
    <w:basedOn w:val="842"/>
    <w:link w:val="850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0"/>
    <w:uiPriority w:val="99"/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table" w:styleId="845">
    <w:name w:val="Table Grid"/>
    <w:basedOn w:val="8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6">
    <w:name w:val="Balloon Text"/>
    <w:basedOn w:val="841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42"/>
    <w:link w:val="846"/>
    <w:uiPriority w:val="99"/>
    <w:semiHidden/>
    <w:rPr>
      <w:rFonts w:ascii="Segoe UI" w:hAnsi="Segoe UI" w:cs="Segoe UI"/>
      <w:sz w:val="18"/>
      <w:szCs w:val="18"/>
    </w:rPr>
  </w:style>
  <w:style w:type="paragraph" w:styleId="848">
    <w:name w:val="Header"/>
    <w:basedOn w:val="841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2"/>
    <w:link w:val="848"/>
    <w:uiPriority w:val="99"/>
  </w:style>
  <w:style w:type="paragraph" w:styleId="850">
    <w:name w:val="Footer"/>
    <w:basedOn w:val="841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2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8</cp:revision>
  <dcterms:created xsi:type="dcterms:W3CDTF">2021-10-19T06:19:00Z</dcterms:created>
  <dcterms:modified xsi:type="dcterms:W3CDTF">2024-08-28T04:42:37Z</dcterms:modified>
</cp:coreProperties>
</file>