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4DBCB" w14:textId="77777777" w:rsidR="00EC38F9" w:rsidRPr="00EC38F9" w:rsidRDefault="00EC38F9" w:rsidP="00EC38F9">
      <w:pPr>
        <w:shd w:val="clear" w:color="auto" w:fill="FEFEFE"/>
        <w:spacing w:after="300" w:line="240" w:lineRule="auto"/>
        <w:rPr>
          <w:rFonts w:ascii="Times New Roman" w:eastAsia="Times New Roman" w:hAnsi="Times New Roman" w:cs="Times New Roman"/>
          <w:color w:val="453E3E"/>
          <w:sz w:val="28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b/>
          <w:bCs/>
          <w:color w:val="453E3E"/>
          <w:sz w:val="28"/>
          <w:szCs w:val="26"/>
          <w:lang w:eastAsia="ru-RU"/>
        </w:rPr>
        <w:t>Национальный проект «Инфраструктура для жизни»</w:t>
      </w:r>
    </w:p>
    <w:p w14:paraId="47810523" w14:textId="77777777" w:rsidR="00EC38F9" w:rsidRPr="00EC38F9" w:rsidRDefault="00EC38F9" w:rsidP="00EC38F9">
      <w:pPr>
        <w:shd w:val="clear" w:color="auto" w:fill="FEFEFE"/>
        <w:spacing w:after="300" w:line="240" w:lineRule="auto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 </w:t>
      </w:r>
    </w:p>
    <w:p w14:paraId="3BAEFC70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Предпосылки формирования нового нацпроекта</w:t>
      </w:r>
    </w:p>
    <w:p w14:paraId="43171DAB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7 мая 2024 года, в день своей инаугурации, Глава государства подписал Указ «О национальных целях развития Российской Федерации на период до 2030 года и на перспективу до 2036 года».</w:t>
      </w:r>
    </w:p>
    <w:p w14:paraId="68D9FFD0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Мероприятия по автомобильным дорогам и общественному транспорту, которые были начаты в нацпроекте «Безопасные качественные дороги», будут продолжены в период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с 25-го по 30-ый годы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и сосредоточены в новом нацпроекте «Инфраструктура для жизни». Такая увязка федеральных проектов по жилищному строительству, коммунальной и дорожной инфраструктуре, благоустройству и общественному транспорту должна обеспечить достижение национальной цели «Комфортная и безопасная среда для жизни», определенной Президентом России.</w:t>
      </w:r>
    </w:p>
    <w:p w14:paraId="0E37AE79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Указом определены целевые показатели, характеризующие достижение национальной цели. Один из ключевых показателей –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улучшение качества среды для жизни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в опорных населенных пунктах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на 30%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к 2030 году и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br/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на 60%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к 2036 году. В этот показатель весомый вклад вносят дороги, иная транспортная инфраструктура и общественный транспорт.</w:t>
      </w:r>
    </w:p>
    <w:p w14:paraId="6C2E608F" w14:textId="77777777" w:rsidR="00342181" w:rsidRDefault="00342181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</w:pPr>
    </w:p>
    <w:p w14:paraId="092D1E9E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Целевые показатели </w:t>
      </w:r>
    </w:p>
    <w:p w14:paraId="22FC51E4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Согласно новому указу о национальных целях развития нашей страны на период до 2030 года и на перспективу до 2036 года в нормативном состоянии должно быть не менее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85 %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федеральных трасс и дорог крупнейших городских агломераций, а также дорог в составе опорной сети. Аналогичный показатель по региональной сети должен быть не менее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60%.</w:t>
      </w:r>
    </w:p>
    <w:p w14:paraId="44DE5E09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Кроме того, к 2030 году поставлена задача снизить показатель смертности в результате ДТП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в полтора раза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по сравнению с показателем 2023 года, а к 2036-му требуется снижение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в два раза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.</w:t>
      </w:r>
    </w:p>
    <w:p w14:paraId="21CA60AE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Также к 2030 году доля парка общественного транспорта, имеющего срок эксплуатации не старше нормативного, в городах и агломерациях должна превысить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85%.</w:t>
      </w:r>
    </w:p>
    <w:p w14:paraId="6BEBABC8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lastRenderedPageBreak/>
        <w:t>Еще более детальные задачи были поставлены ранее в Перечне поручений Президента России по реализации Послания Президента Федеральному Собранию, состоявшегося 29 февраля 2024 года:</w:t>
      </w:r>
    </w:p>
    <w:p w14:paraId="4B29F6D1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- обеспечить к 2030 году строительство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не менее 50 автодорожных обходов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населенных пунктов;</w:t>
      </w:r>
    </w:p>
    <w:p w14:paraId="23EE7DC7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- обеспечить развитие международного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транспортного коридора «Север – Юг»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, в том числе за счет организации «бесшовных маршрутов».</w:t>
      </w:r>
    </w:p>
    <w:p w14:paraId="2624C88C" w14:textId="77777777" w:rsidR="00342181" w:rsidRDefault="00342181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</w:pPr>
    </w:p>
    <w:p w14:paraId="0F5C0A92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 Структура нацпроекта</w:t>
      </w:r>
    </w:p>
    <w:p w14:paraId="590E3D42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В части Минтранса России в рамках нацпроекта «Инфраструктура для жизни» будет реализовано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 пять федеральных проектов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:</w:t>
      </w:r>
    </w:p>
    <w:p w14:paraId="1250EBFD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«Развитие федеральной сети»;</w:t>
      </w:r>
    </w:p>
    <w:p w14:paraId="457A08AD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«Региональная и местная дорожная сеть»;</w:t>
      </w:r>
    </w:p>
    <w:p w14:paraId="75AB9E6D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«Общесистемные меры развития дорожного хозяйства»;</w:t>
      </w:r>
    </w:p>
    <w:p w14:paraId="53E9A3AC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«Развитие общественного транспорта»;</w:t>
      </w:r>
    </w:p>
    <w:p w14:paraId="4538E2DD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«Развитие инфраструктуры Центрального транспортного узла».</w:t>
      </w:r>
    </w:p>
    <w:p w14:paraId="326408E9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Еще один федеральный проект, имеющий отношение к дорожной сфере, будет курировать Министерство внутренних дел РФ, это «Безопасность дорожного движения».</w:t>
      </w:r>
    </w:p>
    <w:p w14:paraId="42B69734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Всего же в структуру нового нацпроекта «Инфраструктура для жизни» вошли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12 федеральных проектов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. Его паспорт утвержден в декабре 2024 года.</w:t>
      </w:r>
    </w:p>
    <w:p w14:paraId="27E56372" w14:textId="77777777" w:rsidR="00342181" w:rsidRDefault="00342181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</w:p>
    <w:p w14:paraId="5B000D49" w14:textId="19F35A8C" w:rsidR="00EC38F9" w:rsidRPr="00EC38F9" w:rsidRDefault="00342181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 xml:space="preserve"> </w:t>
      </w:r>
      <w:r w:rsidR="00EC38F9"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«Бесшовная» логистика</w:t>
      </w:r>
    </w:p>
    <w:p w14:paraId="2C0A8083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Развитие транспортной инфраструктуры на принципах «бесшовной» логистики станет одним из главных направлений деятельности на ближайшие годы.</w:t>
      </w:r>
    </w:p>
    <w:p w14:paraId="29F0F703" w14:textId="60A94A95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lastRenderedPageBreak/>
        <w:t>Необходимо с помощью оптимизации транспортной инфраструктуры сделать так, чтобы грузы и пассажиры распределялись наиболее доступными и оптимальными способами. На основе транспортно-экономического баланса определяются параметры развития единой опорной транспортной сети, основой которой станет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опорная сеть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 xml:space="preserve"> автомобильных дорог. </w:t>
      </w:r>
    </w:p>
    <w:p w14:paraId="1C40E444" w14:textId="77777777" w:rsid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Одним из главных инструментов совместной работы станет реализация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шестилетнего плана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 xml:space="preserve"> дорожной деятельности. Профильными региональными ведомствами и </w:t>
      </w:r>
      <w:proofErr w:type="spellStart"/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Росавтодором</w:t>
      </w:r>
      <w:proofErr w:type="spellEnd"/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 xml:space="preserve"> подготовлены программы дорожной деятельности 88 субъектов Российской Федерации на этот период. Таким образом, решение поставленных главой государства задач потребует полной концентрации сил и средств, постоянного тесного взаимодействия с субъектами Российской Федерации.</w:t>
      </w:r>
    </w:p>
    <w:p w14:paraId="599F2EC3" w14:textId="77777777" w:rsidR="00342181" w:rsidRPr="00EC38F9" w:rsidRDefault="00342181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</w:p>
    <w:p w14:paraId="0081C4B2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Развитие федеральных, региональных и местных дорог </w:t>
      </w:r>
    </w:p>
    <w:p w14:paraId="0D6398CA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Достижение показателя по приведению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85 %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дорог федеральной сети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в норматив обеспечивается за счет реализации следующих мероприятий:</w:t>
      </w:r>
    </w:p>
    <w:p w14:paraId="40E932BC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- капитальный ремонт, ремонт и содержание федеральных автомобильных дорог;</w:t>
      </w:r>
    </w:p>
    <w:p w14:paraId="4D4C21DD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 xml:space="preserve">- строительство и реконструкция дорог </w:t>
      </w:r>
      <w:proofErr w:type="spellStart"/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Росавтодора</w:t>
      </w:r>
      <w:proofErr w:type="spellEnd"/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 xml:space="preserve"> и Госкомпании «</w:t>
      </w:r>
      <w:proofErr w:type="spellStart"/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Автодор</w:t>
      </w:r>
      <w:proofErr w:type="spellEnd"/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».</w:t>
      </w:r>
    </w:p>
    <w:p w14:paraId="7CBBE90F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Отдельно следует отметить, что на выполнение задачи Указа по приведению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85 % дорог опорной сети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в норматив федеральные дороги оказывают непосредственное влияние.</w:t>
      </w:r>
    </w:p>
    <w:p w14:paraId="4FE8D31E" w14:textId="77777777" w:rsidR="00EC38F9" w:rsidRPr="00EC38F9" w:rsidRDefault="00EC38F9" w:rsidP="00342181">
      <w:pPr>
        <w:shd w:val="clear" w:color="auto" w:fill="FEFEFE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Еще один показатель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 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–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 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увеличение к 2030 году нормативного состояния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региональных дорог до 60 %.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Для решения данной задачи в ходе подготовки проекта федерального бюджета подготовлены согласованные предложения по обеспечению дополнительного финансирования дорожного хозяйства за счет дополнительных доходов от акцизов на нефтепродукты.</w:t>
      </w:r>
    </w:p>
    <w:p w14:paraId="31F80AAE" w14:textId="77777777" w:rsidR="00EC38F9" w:rsidRPr="00EC38F9" w:rsidRDefault="00EC38F9" w:rsidP="00342181">
      <w:pPr>
        <w:shd w:val="clear" w:color="auto" w:fill="FEFEFE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</w:pP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Также в нормативном состоянии к 2030 году должно быть не менее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85%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 </w:t>
      </w:r>
      <w:r w:rsidRPr="00EC38F9">
        <w:rPr>
          <w:rFonts w:ascii="Times New Roman" w:eastAsia="Times New Roman" w:hAnsi="Times New Roman" w:cs="Times New Roman"/>
          <w:b/>
          <w:bCs/>
          <w:color w:val="453E3E"/>
          <w:sz w:val="26"/>
          <w:szCs w:val="26"/>
          <w:lang w:eastAsia="ru-RU"/>
        </w:rPr>
        <w:t>дорог крупнейших городских агломераций</w:t>
      </w:r>
      <w:r w:rsidRPr="00EC38F9">
        <w:rPr>
          <w:rFonts w:ascii="Times New Roman" w:eastAsia="Times New Roman" w:hAnsi="Times New Roman" w:cs="Times New Roman"/>
          <w:color w:val="453E3E"/>
          <w:sz w:val="26"/>
          <w:szCs w:val="26"/>
          <w:lang w:eastAsia="ru-RU"/>
        </w:rPr>
        <w:t>. В рамках достижения этого показателя ведется работа с Минэкономразвития по определению перечня крупнейших агломераций и их границ, для того чтобы актуализировать состав их дорожной сети.</w:t>
      </w:r>
    </w:p>
    <w:p w14:paraId="141E9F50" w14:textId="4AD1D99D" w:rsidR="00D563FA" w:rsidRPr="006E3450" w:rsidRDefault="00D563FA" w:rsidP="003421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63FA" w:rsidRPr="006E3450">
      <w:headerReference w:type="default" r:id="rId8"/>
      <w:footerReference w:type="default" r:id="rId9"/>
      <w:pgSz w:w="11906" w:h="16838"/>
      <w:pgMar w:top="0" w:right="850" w:bottom="1134" w:left="1701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75EE4" w14:textId="77777777" w:rsidR="00F44DC1" w:rsidRDefault="00F44DC1">
      <w:pPr>
        <w:spacing w:after="0" w:line="240" w:lineRule="auto"/>
      </w:pPr>
      <w:r>
        <w:separator/>
      </w:r>
    </w:p>
  </w:endnote>
  <w:endnote w:type="continuationSeparator" w:id="0">
    <w:p w14:paraId="2DBD94B3" w14:textId="77777777" w:rsidR="00F44DC1" w:rsidRDefault="00F4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1141A" w14:textId="0DC16DD5" w:rsidR="00D563FA" w:rsidRDefault="00D563FA">
    <w:pPr>
      <w:pStyle w:val="af7"/>
      <w:ind w:left="-142"/>
      <w:jc w:val="right"/>
    </w:pPr>
    <w:r>
      <w:rPr>
        <w:noProof/>
        <w:lang w:eastAsia="ru-RU"/>
      </w:rPr>
      <w:drawing>
        <wp:inline distT="0" distB="0" distL="0" distR="0" wp14:anchorId="09F98292" wp14:editId="4CD26DE0">
          <wp:extent cx="5940425" cy="311853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311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2C19B" w14:textId="77777777" w:rsidR="00F44DC1" w:rsidRDefault="00F44DC1">
      <w:pPr>
        <w:spacing w:after="0" w:line="240" w:lineRule="auto"/>
      </w:pPr>
      <w:r>
        <w:separator/>
      </w:r>
    </w:p>
  </w:footnote>
  <w:footnote w:type="continuationSeparator" w:id="0">
    <w:p w14:paraId="3C66BC3F" w14:textId="77777777" w:rsidR="00F44DC1" w:rsidRDefault="00F4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c"/>
      <w:tblW w:w="1541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7"/>
      <w:gridCol w:w="3524"/>
      <w:gridCol w:w="4921"/>
    </w:tblGrid>
    <w:tr w:rsidR="00D563FA" w14:paraId="6493CF1F" w14:textId="77777777">
      <w:tc>
        <w:tcPr>
          <w:tcW w:w="6967" w:type="dxa"/>
        </w:tcPr>
        <w:p w14:paraId="31146946" w14:textId="20027D2F" w:rsidR="00D563FA" w:rsidRDefault="00D563FA">
          <w:pPr>
            <w:pStyle w:val="af5"/>
            <w:ind w:left="-529" w:right="-340" w:firstLine="709"/>
            <w:rPr>
              <w:color w:val="808080" w:themeColor="background1" w:themeShade="80"/>
            </w:rPr>
          </w:pPr>
          <w:r w:rsidRPr="00421D6B">
            <w:rPr>
              <w:noProof/>
              <w:lang w:eastAsia="ru-RU"/>
            </w:rPr>
            <w:drawing>
              <wp:inline distT="0" distB="0" distL="0" distR="0" wp14:anchorId="1A892980" wp14:editId="517B4078">
                <wp:extent cx="3488788" cy="832386"/>
                <wp:effectExtent l="0" t="0" r="3810" b="6350"/>
                <wp:docPr id="7806409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064093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7487" cy="853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14:paraId="77176197" w14:textId="374A98F1" w:rsidR="00D563FA" w:rsidRDefault="00D563FA" w:rsidP="000B6493">
          <w:pPr>
            <w:pStyle w:val="af5"/>
            <w:ind w:left="31" w:right="32"/>
            <w:jc w:val="right"/>
            <w:rPr>
              <w:color w:val="808080" w:themeColor="background1" w:themeShade="80"/>
            </w:rPr>
          </w:pPr>
        </w:p>
      </w:tc>
      <w:tc>
        <w:tcPr>
          <w:tcW w:w="4921" w:type="dxa"/>
        </w:tcPr>
        <w:p w14:paraId="5707E2C7" w14:textId="77777777" w:rsidR="00D563FA" w:rsidRDefault="00D563FA">
          <w:pPr>
            <w:pStyle w:val="af5"/>
            <w:ind w:left="-114"/>
            <w:jc w:val="right"/>
          </w:pPr>
        </w:p>
      </w:tc>
    </w:tr>
  </w:tbl>
  <w:p w14:paraId="157DC882" w14:textId="77777777" w:rsidR="00D563FA" w:rsidRDefault="00D563FA">
    <w:pPr>
      <w:pStyle w:val="af5"/>
      <w:ind w:right="-340"/>
    </w:pPr>
  </w:p>
  <w:p w14:paraId="1581DA74" w14:textId="4C4D5C71" w:rsidR="00D563FA" w:rsidRDefault="00D563FA">
    <w:pPr>
      <w:pStyle w:val="af5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ОБЩАЯ ИНФОРМАЦИЯ                                                                                                                     </w:t>
    </w:r>
  </w:p>
  <w:p w14:paraId="31A64299" w14:textId="77777777" w:rsidR="00D563FA" w:rsidRDefault="00D563FA">
    <w:pPr>
      <w:pStyle w:val="af5"/>
      <w:ind w:right="-340"/>
      <w:rPr>
        <w:b/>
        <w:color w:val="A6A6A6" w:themeColor="background1" w:themeShade="A6"/>
        <w:sz w:val="24"/>
        <w:szCs w:val="24"/>
      </w:rPr>
    </w:pPr>
  </w:p>
  <w:p w14:paraId="5255B2BC" w14:textId="77777777" w:rsidR="00D563FA" w:rsidRDefault="00D563FA">
    <w:pPr>
      <w:pStyle w:val="af5"/>
      <w:ind w:right="-3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A1B83"/>
    <w:multiLevelType w:val="hybridMultilevel"/>
    <w:tmpl w:val="2B7C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C31EC"/>
    <w:multiLevelType w:val="multilevel"/>
    <w:tmpl w:val="E1E2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5B"/>
    <w:rsid w:val="0002356C"/>
    <w:rsid w:val="00094FCA"/>
    <w:rsid w:val="000A536C"/>
    <w:rsid w:val="000B6493"/>
    <w:rsid w:val="000F1298"/>
    <w:rsid w:val="001548A1"/>
    <w:rsid w:val="0016586F"/>
    <w:rsid w:val="001C343A"/>
    <w:rsid w:val="001E3EE3"/>
    <w:rsid w:val="0020279B"/>
    <w:rsid w:val="00205D14"/>
    <w:rsid w:val="00223E12"/>
    <w:rsid w:val="0023769F"/>
    <w:rsid w:val="00241EA7"/>
    <w:rsid w:val="002C2D02"/>
    <w:rsid w:val="002C5B94"/>
    <w:rsid w:val="002D6A9E"/>
    <w:rsid w:val="00315EEE"/>
    <w:rsid w:val="0031779C"/>
    <w:rsid w:val="00342181"/>
    <w:rsid w:val="00367BB0"/>
    <w:rsid w:val="00391E82"/>
    <w:rsid w:val="003A626E"/>
    <w:rsid w:val="003D039E"/>
    <w:rsid w:val="00421D6B"/>
    <w:rsid w:val="00452AD5"/>
    <w:rsid w:val="004621C2"/>
    <w:rsid w:val="00480F74"/>
    <w:rsid w:val="004C2AD6"/>
    <w:rsid w:val="005160E1"/>
    <w:rsid w:val="00524142"/>
    <w:rsid w:val="00567A56"/>
    <w:rsid w:val="005A01EC"/>
    <w:rsid w:val="005A2B88"/>
    <w:rsid w:val="005B09C2"/>
    <w:rsid w:val="005C6C35"/>
    <w:rsid w:val="00640E72"/>
    <w:rsid w:val="00676E00"/>
    <w:rsid w:val="00685F04"/>
    <w:rsid w:val="006A4EAB"/>
    <w:rsid w:val="006E3450"/>
    <w:rsid w:val="006F7B62"/>
    <w:rsid w:val="0078407A"/>
    <w:rsid w:val="007A270A"/>
    <w:rsid w:val="0080393E"/>
    <w:rsid w:val="008107AD"/>
    <w:rsid w:val="00897079"/>
    <w:rsid w:val="008E47BA"/>
    <w:rsid w:val="00906E59"/>
    <w:rsid w:val="00945C89"/>
    <w:rsid w:val="00954532"/>
    <w:rsid w:val="009605F8"/>
    <w:rsid w:val="009A08D5"/>
    <w:rsid w:val="009A638D"/>
    <w:rsid w:val="009E4C03"/>
    <w:rsid w:val="00A320CB"/>
    <w:rsid w:val="00A9795A"/>
    <w:rsid w:val="00AC5030"/>
    <w:rsid w:val="00B024A4"/>
    <w:rsid w:val="00B06B9A"/>
    <w:rsid w:val="00B95944"/>
    <w:rsid w:val="00BC0E4B"/>
    <w:rsid w:val="00CC0560"/>
    <w:rsid w:val="00CF02D6"/>
    <w:rsid w:val="00D563FA"/>
    <w:rsid w:val="00DB53EB"/>
    <w:rsid w:val="00DC3B7C"/>
    <w:rsid w:val="00E11740"/>
    <w:rsid w:val="00E40775"/>
    <w:rsid w:val="00E4086A"/>
    <w:rsid w:val="00E54A05"/>
    <w:rsid w:val="00EB3E0D"/>
    <w:rsid w:val="00EC38F9"/>
    <w:rsid w:val="00ED02AA"/>
    <w:rsid w:val="00ED0E84"/>
    <w:rsid w:val="00EE0C6D"/>
    <w:rsid w:val="00F44DC1"/>
    <w:rsid w:val="00F9675B"/>
    <w:rsid w:val="00FA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19E8D"/>
  <w15:docId w15:val="{06BD1AFD-261E-4331-ACC4-DF4D0BE7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0"/>
      <w:jc w:val="center"/>
    </w:pPr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3">
    <w:name w:val="Основной шрифт абзаца4"/>
    <w:rsid w:val="001C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56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7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8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6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0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63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8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3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1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90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0A6A3-DBD4-4E89-80C5-4C23C761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lider</cp:lastModifiedBy>
  <cp:revision>2</cp:revision>
  <dcterms:created xsi:type="dcterms:W3CDTF">2025-06-25T08:01:00Z</dcterms:created>
  <dcterms:modified xsi:type="dcterms:W3CDTF">2025-06-25T08:01:00Z</dcterms:modified>
</cp:coreProperties>
</file>