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Приложение № 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 приказу министерства транспорта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и дорожного хозяйства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от «__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_»_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_____ № ______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осуществлению регионального государственного контроля (надзора) в сфере перевозок пассажиров и багажа легковым такси 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2025 год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текущего состояния осуществления вида контроля,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текущего развития профилактической деятельности, характеристика проблем, на решение которых направлена программа профилактики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  <w:r/>
      <w:r>
        <w:rPr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 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 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 31.07.2020 № 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 24.09.2024 </w:t>
      </w:r>
      <w:r>
        <w:rPr>
          <w:rFonts w:ascii="Times New Roman" w:hAnsi="Times New Roman" w:cs="Times New Roman"/>
          <w:sz w:val="28"/>
          <w:szCs w:val="28"/>
        </w:rPr>
        <w:t xml:space="preserve">№ 440-п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«Об утверждении Положения об осуществлении регионального государственного контроля (надзора) в сфере перевозок пассажиров и багажа легковым такси на территории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Новосибирской области (далее – контрольный орган) уполномочен осуществлять региональный государственный контроль (надзор) в сфере перевозок пассажиров и багажа легковым такси на территории Новосибирской области (далее – государственный контроль).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государственного контроля является соблюдение организациями и физическими лицами, о</w:t>
      </w:r>
      <w:r>
        <w:rPr>
          <w:rFonts w:ascii="Times New Roman" w:hAnsi="Times New Roman" w:cs="Times New Roman"/>
          <w:sz w:val="28"/>
          <w:szCs w:val="28"/>
        </w:rPr>
        <w:t xml:space="preserve">существляющими деятельность по оказанию услуг по перевозке пассажиров и багажа легковым такси, а также службами заказа легкового такси (далее – контролируемые лица) обязательных требований, установленных статьей 30 Федерального закона от 29.12.2022 № 580-Ф</w:t>
      </w:r>
      <w:r>
        <w:rPr>
          <w:rFonts w:ascii="Times New Roman" w:hAnsi="Times New Roman" w:cs="Times New Roman"/>
          <w:sz w:val="28"/>
          <w:szCs w:val="28"/>
        </w:rPr>
        <w:t xml:space="preserve">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ФЗ № 580) и правилами перевозок пассажиров и багажа легковым такси, а также требований к обеспечению доступности для инвалидов объектов социальной, инженерной и транспортных инфраструктур и предоставляемых услуг (далее - обязательные требования);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контроля контрольный орган осуществляет надзор за соблюдением обязательных требований:</w:t>
      </w:r>
      <w:r/>
    </w:p>
    <w:p>
      <w:pPr>
        <w:ind w:firstLine="0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Предъявляемые к легковому такси: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иметь на кузове (на боковых поверхностях кузова)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цветографическую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схему, представляющую собой композицию из квадратов контрастного цвета, расположенных в шахматном порядке;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иметь на крыше опознавательный фонарь оранжевого цвета;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не размещать информацию о маршруте перевозки, начальном и (или) конечном пунктах перевозки, о стоимости такой перевозки.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в салоне легкового такси размещать информацию в соответствии с требованиями ФЗ №580.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 Предъявляемые к перевозчику легковым такси:</w:t>
      </w:r>
      <w:r/>
    </w:p>
    <w:p>
      <w:pPr>
        <w:ind w:firstLine="708"/>
        <w:jc w:val="both"/>
        <w:spacing w:after="0" w:line="240" w:lineRule="auto"/>
      </w:pP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 использовать в качестве легкового такси транспортное средство, которое допущено к участию в дорожном движении в порядке, установленном законодательством Российской Федерации, и </w:t>
      </w:r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sz w:val="28"/>
          <w:szCs w:val="28"/>
        </w:rPr>
        <w:t xml:space="preserve"> о котором внесены в региональный реестр легковых такси;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2) допускать к управлению легковым такси водителя, являющегося работником перевозчика и соответствующего требованиям, установленным статьей 12 ФЗ № 580;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3) обеспечивать соблюдение установленных законодательством Российской Федерации норм рабочего времени, времени отдыха, норм времени управления транспортным средством, требований по учету указанного времени;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4) находиться на учете в налоговых органах на территории субъекта Российской Федерации, уполномоченным органом которого предоставлено разрешение;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5) обеспечивать оформление путевого листа;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6) в случае заключения договора со службой заказа легкового такси представлять в указанную службу сведения о готовности к выполнению заказов легкового такси, а также о времени начала и окончания выполнения заказов легкового такси;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7) вести в электронной форме или на бумажном носителе журнал регистрации заказов легкового такси (далее - журнал заказов) 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8) хранить сведения, содержащиеся в журнале заказов, не менее шести месяцев со дня исполнения заказа легкового </w:t>
      </w:r>
      <w:r>
        <w:rPr>
          <w:rFonts w:ascii="Times New Roman" w:hAnsi="Times New Roman" w:cs="Times New Roman"/>
          <w:sz w:val="28"/>
          <w:szCs w:val="28"/>
        </w:rPr>
        <w:t xml:space="preserve">такси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9) разрабатывать тарифы на перевозку пассажиров и багажа легковым такси и правила их применения при определении платы за перевозку, за исключением случаев, если в соответствии с частями 1 и 4 статьи 24 ФЗ № 580 предусмотрено иное;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10) направлять сведения о водителях легковых такси в уполномоченный орган. Состав таких сведений и порядок их направления устанавливаются нормативным правовым актом субъекта Российской Федерации;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11) не допу</w:t>
      </w:r>
      <w:r>
        <w:rPr>
          <w:rFonts w:ascii="Times New Roman" w:hAnsi="Times New Roman" w:cs="Times New Roman"/>
          <w:sz w:val="28"/>
          <w:szCs w:val="28"/>
        </w:rPr>
        <w:t xml:space="preserve">скать к управлению легковыми такси лиц, которые имеют неснятую или непогашенную судимость за совершение преступлений, указанных в статье 328.1 Трудового кодекса Российской Федерации, и лиц, которые подвергаются уголовному преследованию за эти преступления.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Предъявляемые к службе заказа легкового такси</w:t>
      </w:r>
      <w:r/>
    </w:p>
    <w:p>
      <w:pPr>
        <w:ind w:firstLine="708"/>
        <w:jc w:val="both"/>
        <w:spacing w:after="0" w:line="240" w:lineRule="auto"/>
      </w:pP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 Служба заказа легкового такси при осуществлении своей деятельности обязана ежедневно осуществлять проверку сведений о разрешениях в региональном реестре пе</w:t>
      </w:r>
      <w:r>
        <w:rPr>
          <w:rFonts w:ascii="Times New Roman" w:hAnsi="Times New Roman" w:cs="Times New Roman"/>
          <w:sz w:val="28"/>
          <w:szCs w:val="28"/>
        </w:rPr>
        <w:t xml:space="preserve">ревозчиков легковым такси и сведений в региональном реестре легковых такси, передавать заказы легкового такси перевозчику или водителю легкового такси, являющемуся работником данного перевозчика, только в случае, если региональный реестр перевозчиков легко</w:t>
      </w:r>
      <w:r>
        <w:rPr>
          <w:rFonts w:ascii="Times New Roman" w:hAnsi="Times New Roman" w:cs="Times New Roman"/>
          <w:sz w:val="28"/>
          <w:szCs w:val="28"/>
        </w:rPr>
        <w:t xml:space="preserve">вым такси содержит сведения о предоставленном данному перевозчику разрешении, которое не приостановлено и не аннулировано, а сведения о транспортном средстве, используемом в качестве легкового такси, содержатся в региональном реестре легковых такси. Не доп</w:t>
      </w:r>
      <w:r>
        <w:rPr>
          <w:rFonts w:ascii="Times New Roman" w:hAnsi="Times New Roman" w:cs="Times New Roman"/>
          <w:sz w:val="28"/>
          <w:szCs w:val="28"/>
        </w:rPr>
        <w:t xml:space="preserve">ускается передача службой заказа легкового такси заказов легкового такси (обеспечение доступа к таким заказам) перевозчику, не заключившему договор со службой заказа легкового такси, или водителю легкового такси, являющемуся работником данного перевозчика;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2) вести в электронной форме или на бумажном носителе журнал ре</w:t>
      </w:r>
      <w:r>
        <w:rPr>
          <w:rFonts w:ascii="Times New Roman" w:hAnsi="Times New Roman" w:cs="Times New Roman"/>
          <w:sz w:val="28"/>
          <w:szCs w:val="28"/>
        </w:rPr>
        <w:t xml:space="preserve">гистрации заказов легкового такси службы заказов легкового такси (далее - журнал службы заказов), регистрировать в нем наименование перевозчика, которому передан заказ легкового такси, а также сведения, предусмотренные пунктом 7 части 1 статьи 11 ФЗ № 580;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3) хранить сведения не</w:t>
      </w:r>
      <w:r>
        <w:rPr>
          <w:rFonts w:ascii="Times New Roman" w:hAnsi="Times New Roman" w:cs="Times New Roman"/>
          <w:sz w:val="28"/>
          <w:szCs w:val="28"/>
        </w:rPr>
        <w:t xml:space="preserve"> менее шести месяцев со дня исполнения заказа легкового такси и предоставлять их по требованию уполномоченного органа, федерального органа исполнительной власти в области обеспечения безопасности или его территориальных органов, а также федерального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или его территориальных органов в случаях, установленных законодательством Российской Федерации;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4) не передавать заказы легкового такси юридическим лицам, индивидуальным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телям, являющимся перевозчиками, водителям легкового такси, являющимся работниками данных перевозчиков, физическим лицам в случаях, предусмотренных пунктами 8 и 9 части 4 статьи 8 ФЗ № 580, неисполнения требования к оформлению путевого листа,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ого пунктом 5 части 1 статьи 11 ФЗ № 580, а также в случае несоответствия водителя легкового такси требованиям, предусмотренным частями 1 и 2 статьи 12 ФЗ № 580, если в соответствии с законодательством Российской Федерации, законодательством субъекта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службе заказа легкового такси предоставлена возможность получения из государственных, в том числе региональных, информационных систем сведений о таких случаях и служба заказа легкового такси уведомлена о предоставлении ей такой возможности;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направлять в уполномоченный орган уведомление о расторжении с физическим лицом договора службы заказа легкового такси с перевозчиком.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Предъявляемые при перевозке пассажиров из числа инвалидов и их багажа легковым такси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перевозке пассажиров из числа инвалидов и их багажа легковым такси предоставление без взимания дополнительной платы следующих услуг: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 оказание водителем помощи пассажиру из числа инвалидов при посадке в транспортное средство и высадке из него;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2) провоз собак-проводников при наличии специального документа;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3) перевозка кресла-коляски пассажира из числа инвалидов;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4) предоставление пассажиру из числа инвалидов возможности проинформировать о предстоящей поездке и потребности в услугах, оказываемых указанной категории пассажиров;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 транспортного средства надписями, иной текстовой и графической информацией, выполненной крупным шрифтом, в том числе с применением рельефно-точечного шрифта Брайля.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</w:t>
      </w:r>
      <w:r>
        <w:rPr>
          <w:rFonts w:ascii="Times New Roman" w:hAnsi="Times New Roman" w:cs="Times New Roman"/>
          <w:sz w:val="28"/>
          <w:szCs w:val="28"/>
        </w:rPr>
        <w:t xml:space="preserve">ле в Российской Федерации» и на основании постановления Правительства Российской Федерации от 10.03.2022 № 336 «Об особенностях организации и осуществления государственного контроля (надзора), муниципального контроля» в 2025 году проверки не запланированы.</w:t>
      </w:r>
      <w:r/>
    </w:p>
    <w:tbl>
      <w:tblPr>
        <w:tblStyle w:val="690"/>
        <w:tblW w:w="0" w:type="auto"/>
        <w:tblLook w:val="04A0" w:firstRow="1" w:lastRow="0" w:firstColumn="1" w:lastColumn="0" w:noHBand="0" w:noVBand="1"/>
      </w:tblPr>
      <w:tblGrid>
        <w:gridCol w:w="8124"/>
        <w:gridCol w:w="1787"/>
      </w:tblGrid>
      <w:tr>
        <w:tblPrEx/>
        <w:trPr/>
        <w:tc>
          <w:tcPr>
            <w:tcW w:w="8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2025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запланированных проверок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штатных единиц, в должностные обязанности которых входит выполнения контрольных функций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субъектов предпринимательской деятельности, получившие разрешение на осуществление перевозок пассажиров и багажа легковым такси на территории Новосибирской области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Юр.лица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/ИП/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самозанятые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71/324/206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 субъектов предпринимательской деятельности, получившие разрешение на осуществление деятельности служб заказа такси на территории Новосибирской области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Юр.лица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/ИП)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rPr>
          <w:b w:val="0"/>
          <w:bCs w:val="0"/>
          <w:highlight w:val="white"/>
        </w:rPr>
      </w:pPr>
      <w:r>
        <w:rPr>
          <w:b w:val="0"/>
          <w:bCs w:val="0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Основной проблемой является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неисполнение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перевозчиками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обязательного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требования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-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Деятельность по перевозке пассажиров и багажа легковым такси осуществляется на основании разрешения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 на достижение указанного целевого значения ключевого показателя направлена программа профилактики рисков. 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ind w:firstLine="709"/>
        <w:jc w:val="center"/>
        <w:spacing w:after="0" w:line="240" w:lineRule="auto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реализации программы профилактики</w:t>
      </w:r>
      <w:r/>
    </w:p>
    <w:p>
      <w:pPr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Целями программы профилактики являются:</w:t>
      </w:r>
      <w:r/>
    </w:p>
    <w:p>
      <w:pPr>
        <w:pStyle w:val="838"/>
        <w:numPr>
          <w:ilvl w:val="0"/>
          <w:numId w:val="1"/>
        </w:numPr>
        <w:ind w:left="0" w:firstLine="709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  <w:r/>
    </w:p>
    <w:p>
      <w:pPr>
        <w:pStyle w:val="838"/>
        <w:numPr>
          <w:ilvl w:val="0"/>
          <w:numId w:val="1"/>
        </w:numPr>
        <w:ind w:left="0" w:firstLine="709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Снижение административной нагрузки на подконтрольные субъекты;</w:t>
      </w:r>
      <w:r/>
    </w:p>
    <w:p>
      <w:pPr>
        <w:pStyle w:val="838"/>
        <w:numPr>
          <w:ilvl w:val="0"/>
          <w:numId w:val="1"/>
        </w:numPr>
        <w:ind w:left="0" w:firstLine="709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Мотивация к добросовестному поведению и, как следствие, снижение уровня ущерба охраняемым законом ценностям;</w:t>
      </w:r>
      <w:r/>
    </w:p>
    <w:p>
      <w:pPr>
        <w:pStyle w:val="838"/>
        <w:numPr>
          <w:ilvl w:val="0"/>
          <w:numId w:val="1"/>
        </w:numPr>
        <w:ind w:left="0" w:firstLine="710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Повышение прозрачности системы осуществления регионального государственного контроля в сфере перевозок пассажиров и багажа легковыми такси.</w:t>
      </w:r>
      <w:r/>
    </w:p>
    <w:p>
      <w:pPr>
        <w:ind w:firstLine="709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мероприятий, программы профилактики направлено на решение следующих задач:</w:t>
      </w:r>
      <w:r/>
    </w:p>
    <w:p>
      <w:pPr>
        <w:pStyle w:val="838"/>
        <w:numPr>
          <w:ilvl w:val="0"/>
          <w:numId w:val="2"/>
        </w:numPr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Укрепление системы профилактики нарушений обязательных требований;</w:t>
      </w:r>
      <w:r/>
    </w:p>
    <w:p>
      <w:pPr>
        <w:pStyle w:val="838"/>
        <w:numPr>
          <w:ilvl w:val="0"/>
          <w:numId w:val="2"/>
        </w:numPr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  <w:r/>
    </w:p>
    <w:p>
      <w:pPr>
        <w:pStyle w:val="838"/>
        <w:numPr>
          <w:ilvl w:val="0"/>
          <w:numId w:val="2"/>
        </w:numPr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iCs/>
          <w:sz w:val="28"/>
          <w:szCs w:val="28"/>
        </w:rPr>
        <w:t xml:space="preserve">Повышение правосознания и правовой культуры юридических лиц, индивидуальных предпринимателей;</w:t>
      </w:r>
      <w:r/>
    </w:p>
    <w:p>
      <w:pPr>
        <w:pStyle w:val="838"/>
        <w:numPr>
          <w:ilvl w:val="0"/>
          <w:numId w:val="2"/>
        </w:numPr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кадрового состава министерства транспорта и дорожного хозяйства Новосибирской области.</w:t>
      </w:r>
      <w:r/>
    </w:p>
    <w:p>
      <w:pPr>
        <w:ind w:firstLine="708"/>
        <w:jc w:val="both"/>
        <w:spacing w:after="0" w:line="240" w:lineRule="auto"/>
      </w:pPr>
      <w:r/>
      <w:r/>
    </w:p>
    <w:p>
      <w:pPr>
        <w:ind w:firstLine="709"/>
        <w:jc w:val="center"/>
        <w:spacing w:after="0" w:line="240" w:lineRule="auto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  <w:r/>
    </w:p>
    <w:p>
      <w:pPr>
        <w:ind w:firstLine="709"/>
        <w:jc w:val="center"/>
        <w:spacing w:after="0" w:line="240" w:lineRule="auto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(периодичность) их проведения</w:t>
      </w:r>
      <w:r/>
    </w:p>
    <w:p>
      <w:pPr>
        <w:ind w:firstLine="709"/>
        <w:jc w:val="center"/>
        <w:spacing w:after="0" w:line="240" w:lineRule="auto"/>
        <w:outlineLvl w:val="1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268"/>
        <w:gridCol w:w="206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Структурное подразделение, ответственное за реализацию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осуществляется посредством размещени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 сведений на официальном сайте контрольного органа в информационно - 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Обобщение правоприменительной практики. Доклад о правоприменительной пр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актике готовится контрольным органом один раз в год и утверждается приказом контрольного органа до 15 марта года, следующего за отчетным годом, и размещается на официальном сайте контрольного органа в сети «Интернет» в 3-дневный срок со дня его утверждения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Один раз в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Объявление предостережения контролируемому лицу о недопустимости нарушения обязательных требований в соответствии с положением о региональном государственном контроле (надзоре).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случае получения сведений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 соблюдения обязательных требований установленных Федеральным законом № 580-ФЗ к легковому такси, перевозчикам легкового такси, службам заказа легкового такси)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 осуществляется должностным лицом контрольного органа по телефону, посредством видео-конференции-связи, на личном приеме либо в ходе проведения профилактического мероприятия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в отношении контролируемых лиц проводится должностными лицами контрольного органа в форме профилактической беседы по месту осуществления деятельности контролируемого лица либо с использованием видео-конференц-связи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течении одного года со дня начала деятельности в сфере перевозок пассажиров и багажа легковым такси, а также в отношении контролируемых лиц, отнесенных к категории высокого риска.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0"/>
        <w:jc w:val="left"/>
        <w:spacing w:after="0" w:line="240" w:lineRule="auto"/>
        <w:outlineLvl w:val="1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необходимости консультирование будет проводиться посредством телефонной связи, результаты консультирования будут размещаться в информационной системе «Простые реестры» в ТОР КНД.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0"/>
        <w:jc w:val="left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935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6312"/>
        <w:gridCol w:w="24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.07.2021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контрольного (надзорного)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0"/>
        <w:jc w:val="left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  <w:outlineLvl w:val="1"/>
      </w:pPr>
      <w:r/>
      <w:r/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6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right"/>
        <w:spacing w:after="0" w:line="240" w:lineRule="auto"/>
        <w:outlineLvl w:val="1"/>
      </w:pPr>
      <w:r/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</w:t>
      </w:r>
      <w:r>
        <w:rPr>
          <w:rFonts w:ascii="Times New Roman" w:hAnsi="Times New Roman" w:cs="Times New Roman"/>
          <w:sz w:val="28"/>
          <w:szCs w:val="28"/>
        </w:rPr>
        <w:t xml:space="preserve">филактический визит, запланированный к проведению в 2025 году,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 статьями 45 и 52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</w:t>
      </w:r>
      <w:r/>
    </w:p>
    <w:p>
      <w:pPr>
        <w:ind w:firstLine="709"/>
        <w:jc w:val="center"/>
        <w:spacing w:after="0" w:line="240" w:lineRule="auto"/>
      </w:pPr>
      <w:r/>
      <w:r/>
    </w:p>
    <w:tbl>
      <w:tblPr>
        <w:tblStyle w:val="690"/>
        <w:tblW w:w="0" w:type="auto"/>
        <w:tblInd w:w="-568" w:type="dxa"/>
        <w:tblLayout w:type="fixed"/>
        <w:tblLook w:val="04A0" w:firstRow="1" w:lastRow="0" w:firstColumn="1" w:lastColumn="0" w:noHBand="0" w:noVBand="1"/>
      </w:tblPr>
      <w:tblGrid>
        <w:gridCol w:w="425"/>
        <w:gridCol w:w="1102"/>
        <w:gridCol w:w="1167"/>
        <w:gridCol w:w="1100"/>
        <w:gridCol w:w="1310"/>
        <w:gridCol w:w="1134"/>
        <w:gridCol w:w="1274"/>
        <w:gridCol w:w="1559"/>
        <w:gridCol w:w="851"/>
      </w:tblGrid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контролируемом лице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3"/>
            <w:tcW w:w="37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объекте контроля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согласованном с контролируемом лицом профилактическом визите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264"/>
        </w:trPr>
        <w:tc>
          <w:tcP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контролируемого лица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государственный номер (ОГРН)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 номер налогоплательщика (ИНН)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контроля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нахождения объекта контроля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риска, присвоенная объекту контроля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проведения профилактического визита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 профилактического визита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53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02" w:type="dxa"/>
            <w:vMerge w:val="restart"/>
            <w:textDirection w:val="lrTb"/>
            <w:noWrap w:val="false"/>
          </w:tcPr>
          <w:p>
            <w:pPr>
              <w:pStyle w:val="840"/>
              <w:jc w:val="both"/>
              <w:spacing w:before="0" w:beforeAutospacing="0" w:after="0" w:afterAutospacing="0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ООО «НДП» директор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Землянкин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Артем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Сергеевич  +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7(923)2279839.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</w:r>
          </w:p>
          <w:p>
            <w:pPr>
              <w:pStyle w:val="840"/>
              <w:ind w:firstLine="709"/>
              <w:jc w:val="both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/>
            <w:hyperlink r:id="rId9" w:tooltip="ООО ''НДП''" w:history="1">
              <w:r>
                <w:rPr>
                  <w:rStyle w:val="841"/>
                  <w:rFonts w:ascii="Arial" w:hAnsi="Arial" w:eastAsia="Arial" w:cs="Arial"/>
                  <w:color w:val="000000" w:themeColor="text1"/>
                  <w:sz w:val="16"/>
                  <w:szCs w:val="16"/>
                  <w:u w:val="none"/>
                </w:rPr>
                <w:t xml:space="preserve">1045404356172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5433156230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3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деятельность, действия (бездействие) контролируемых лиц, в рамках которых должны соблюдаться обязательные требования к осуществлению перевозок пассажиров и багажа легковым такси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обл. Новосибирская, г. Новосибирск, ул. Нижегородская, д. 268, к. ЭТАЖ 2, кв. КАБИНЕТ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Высокая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 квартал 2025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день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30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ИП Пилипенко Евгений Владимирович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/>
            <w:hyperlink r:id="rId10" w:tooltip="Индивидуальный предприниматель" w:history="1">
              <w:r>
                <w:rPr>
                  <w:rStyle w:val="841"/>
                  <w:rFonts w:ascii="Arial" w:hAnsi="Arial" w:eastAsia="Arial" w:cs="Arial"/>
                  <w:color w:val="000000" w:themeColor="text1"/>
                  <w:sz w:val="16"/>
                  <w:szCs w:val="16"/>
                  <w:u w:val="none"/>
                </w:rPr>
                <w:t xml:space="preserve">543606139189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 w:themeColor="text1"/>
                <w:sz w:val="16"/>
                <w:szCs w:val="16"/>
                <w:highlight w:val="white"/>
              </w:rPr>
              <w:t xml:space="preserve">313548315400104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3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деятельность, действия (бездействие) контролируемых лиц, в рамках которых должны соблюдаться обязательные требования к осуществлению перевозок пассажиров и багажа легковым такси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633621, Новосибирская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Сузунский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 р-н, Сузун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рп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, Линейный пер, дом №7, кв2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Высокая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II квартал 2025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день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779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  <w:style w:type="paragraph" w:styleId="840" w:customStyle="1">
    <w:name w:val="ng-star-inserted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41" w:customStyle="1">
    <w:name w:val="Оглавление 1 Знак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sicmt.ru/fgis-taksi/carrier?id=88544802-0a7e-404d-b8d7-8e94637d4d1b" TargetMode="External"/><Relationship Id="rId10" Type="http://schemas.openxmlformats.org/officeDocument/2006/relationships/hyperlink" Target="https://sicmt.ru/fgis-taksi/order?id=b3442031-5f31-4471-855f-0005b9ee0cb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askr</cp:lastModifiedBy>
  <cp:revision>2</cp:revision>
  <dcterms:modified xsi:type="dcterms:W3CDTF">2025-03-27T06:09:31Z</dcterms:modified>
</cp:coreProperties>
</file>