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left="14"/>
        <w:jc w:val="center"/>
        <w:spacing w:before="600"/>
        <w:shd w:val="clear" w:color="auto" w:fill="ffffff"/>
      </w:pPr>
      <w:r>
        <w:rPr>
          <w:b/>
          <w:bCs/>
          <w:spacing w:val="-1"/>
          <w:sz w:val="28"/>
          <w:szCs w:val="28"/>
        </w:rPr>
        <w:t xml:space="preserve">ДОКЛАД</w:t>
      </w:r>
      <w:r/>
    </w:p>
    <w:p>
      <w:pPr>
        <w:pStyle w:val="840"/>
        <w:ind w:left="29"/>
        <w:jc w:val="center"/>
        <w:spacing w:line="326" w:lineRule="exact"/>
        <w:shd w:val="clear" w:color="auto" w:fill="ffffff"/>
      </w:pPr>
      <w:r>
        <w:rPr>
          <w:b/>
          <w:bCs/>
          <w:sz w:val="28"/>
          <w:szCs w:val="28"/>
        </w:rPr>
        <w:t xml:space="preserve">о правоприменительной практике осуществления Министерством</w:t>
      </w:r>
      <w:r/>
    </w:p>
    <w:p>
      <w:pPr>
        <w:pStyle w:val="840"/>
        <w:ind w:left="19"/>
        <w:jc w:val="center"/>
        <w:spacing w:line="326" w:lineRule="exact"/>
        <w:shd w:val="clear" w:color="auto" w:fill="ffffff"/>
      </w:pPr>
      <w:r>
        <w:rPr>
          <w:b/>
          <w:bCs/>
          <w:sz w:val="28"/>
          <w:szCs w:val="28"/>
        </w:rPr>
        <w:t xml:space="preserve">транспорта и дорожного хозяйства Новосибирской области федерального</w:t>
      </w:r>
      <w:r/>
    </w:p>
    <w:p>
      <w:pPr>
        <w:pStyle w:val="840"/>
        <w:ind w:left="38"/>
        <w:jc w:val="center"/>
        <w:spacing w:line="326" w:lineRule="exact"/>
        <w:shd w:val="clear" w:color="auto" w:fill="ffffff"/>
      </w:pPr>
      <w:r>
        <w:rPr>
          <w:b/>
          <w:bCs/>
          <w:sz w:val="28"/>
          <w:szCs w:val="28"/>
        </w:rPr>
        <w:t xml:space="preserve">государственного контроля (надзора) за соблюдением правил технической</w:t>
      </w:r>
      <w:r/>
    </w:p>
    <w:p>
      <w:pPr>
        <w:pStyle w:val="840"/>
        <w:ind w:left="34"/>
        <w:jc w:val="center"/>
        <w:spacing w:line="326" w:lineRule="exact"/>
        <w:shd w:val="clear" w:color="auto" w:fill="ffffff"/>
      </w:pPr>
      <w:r>
        <w:rPr>
          <w:b/>
          <w:bCs/>
          <w:sz w:val="28"/>
          <w:szCs w:val="28"/>
        </w:rPr>
        <w:t xml:space="preserve">эксплуатации внеуличного транспорта и правил пользования внеуличным</w:t>
      </w:r>
      <w:r/>
    </w:p>
    <w:p>
      <w:pPr>
        <w:pStyle w:val="840"/>
        <w:ind w:left="10"/>
        <w:jc w:val="center"/>
        <w:spacing w:line="326" w:lineRule="exact"/>
        <w:shd w:val="clear" w:color="auto" w:fill="ffffff"/>
      </w:pPr>
      <w:r>
        <w:rPr>
          <w:b/>
          <w:bCs/>
          <w:sz w:val="28"/>
          <w:szCs w:val="28"/>
        </w:rPr>
        <w:t xml:space="preserve">транспортом за 2021 год</w:t>
      </w:r>
      <w:r/>
    </w:p>
    <w:p>
      <w:pPr>
        <w:pStyle w:val="840"/>
        <w:ind w:left="29"/>
        <w:jc w:val="center"/>
        <w:spacing w:before="490"/>
        <w:shd w:val="clear" w:color="auto" w:fill="ffffff"/>
      </w:pPr>
      <w:r>
        <w:rPr>
          <w:b/>
          <w:bCs/>
          <w:spacing w:val="-2"/>
          <w:sz w:val="28"/>
          <w:szCs w:val="28"/>
        </w:rPr>
        <w:t xml:space="preserve">1. Общие сведения</w:t>
      </w:r>
      <w:r/>
    </w:p>
    <w:p>
      <w:pPr>
        <w:pStyle w:val="840"/>
        <w:ind w:left="10" w:firstLine="706"/>
        <w:jc w:val="both"/>
        <w:spacing w:before="226" w:line="322" w:lineRule="exact"/>
        <w:shd w:val="clear" w:color="auto" w:fill="ffffff"/>
      </w:pPr>
      <w:r>
        <w:rPr>
          <w:sz w:val="28"/>
          <w:szCs w:val="28"/>
        </w:rPr>
        <w:t xml:space="preserve">Доклад о правоприменительной практике осуществления Министерством </w:t>
      </w:r>
      <w:r>
        <w:rPr>
          <w:spacing w:val="-1"/>
          <w:sz w:val="28"/>
          <w:szCs w:val="28"/>
        </w:rPr>
        <w:t xml:space="preserve">транспорта и дорожного хозяйства Новосибирской области (далее - Министерство) </w:t>
      </w:r>
      <w:r>
        <w:rPr>
          <w:sz w:val="28"/>
          <w:szCs w:val="28"/>
        </w:rPr>
        <w:t xml:space="preserve">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 (далее - федеральный государственный контроль </w:t>
      </w:r>
      <w:r>
        <w:rPr>
          <w:spacing w:val="-2"/>
          <w:sz w:val="28"/>
          <w:szCs w:val="28"/>
        </w:rPr>
        <w:t xml:space="preserve">(надзор) за 2022 год подготовлен во исполнение требований частей 2 и 3 статьи 47 </w:t>
      </w:r>
      <w:r>
        <w:rPr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в соответствии с разделом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</w:t>
      </w:r>
      <w:r>
        <w:rPr>
          <w:sz w:val="28"/>
          <w:szCs w:val="28"/>
        </w:rPr>
        <w:t xml:space="preserve">й, требований, установленных муниципальными правовыми актами, утвержденных постановлением Правительства Российской Федерации от 26.12.2018 № 1680, и Методическими рекомендациями по обобщению и анализу правоприменительной практики контрольно-надзорной деяте</w:t>
      </w:r>
      <w:r>
        <w:rPr>
          <w:sz w:val="28"/>
          <w:szCs w:val="28"/>
        </w:rPr>
        <w:t xml:space="preserve">льности, утвержденными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09.09.2016 № 7.</w:t>
      </w:r>
      <w:r/>
    </w:p>
    <w:p>
      <w:pPr>
        <w:pStyle w:val="840"/>
        <w:ind w:left="5" w:right="19" w:firstLine="710"/>
        <w:jc w:val="both"/>
        <w:spacing w:line="322" w:lineRule="exact"/>
        <w:shd w:val="clear" w:color="auto" w:fill="ffffff"/>
      </w:pPr>
      <w:r>
        <w:rPr>
          <w:sz w:val="28"/>
          <w:szCs w:val="28"/>
        </w:rPr>
        <w:t xml:space="preserve">Федеральный государственный контроль (надзор) осуществляется Министерством в соответствии с Положением о федерально</w:t>
      </w:r>
      <w:r>
        <w:rPr>
          <w:sz w:val="28"/>
          <w:szCs w:val="28"/>
        </w:rPr>
        <w:t xml:space="preserve">м государственном контроле (надзоре) за соблюдением правил технической эксплуатации внеуличного транспорта и правил пользования внеуличным транспортом, утвержденным постановлением Правительства Российской Федерации от 25.06.2021 № 1003 (далее - Положение).</w:t>
      </w:r>
      <w:r/>
    </w:p>
    <w:p>
      <w:pPr>
        <w:pStyle w:val="840"/>
        <w:ind w:right="24" w:firstLine="706"/>
        <w:jc w:val="both"/>
        <w:spacing w:line="322" w:lineRule="exact"/>
        <w:shd w:val="clear" w:color="auto" w:fill="ffffff"/>
      </w:pPr>
      <w:r>
        <w:rPr>
          <w:sz w:val="28"/>
          <w:szCs w:val="28"/>
        </w:rPr>
        <w:t xml:space="preserve">Предметом федерального</w:t>
      </w:r>
      <w:r>
        <w:rPr>
          <w:sz w:val="28"/>
          <w:szCs w:val="28"/>
        </w:rPr>
        <w:t xml:space="preserve"> государственного контроля (надзора) является соблюдение юридическими лицами, индивидуальными предпринимателями, осуществляющими эксплуатацию подвижного состава внеуличного транспорта и объектов инфраструктуры внеуличного транспорта (далее - контролируемые</w:t>
      </w:r>
      <w:r/>
    </w:p>
    <w:p>
      <w:pPr>
        <w:pStyle w:val="840"/>
        <w:ind w:right="24" w:firstLine="706"/>
        <w:jc w:val="both"/>
        <w:spacing w:line="322" w:lineRule="exact"/>
        <w:shd w:val="clear" w:color="auto" w:fill="ffffff"/>
        <w:sectPr>
          <w:footnotePr/>
          <w:endnotePr/>
          <w:type w:val="nextPage"/>
          <w:pgSz w:w="11909" w:h="16834" w:orient="portrait"/>
          <w:pgMar w:top="950" w:right="448" w:bottom="360" w:left="1520" w:header="720" w:footer="720" w:gutter="0"/>
          <w:cols w:num="1" w:sep="0" w:space="60" w:equalWidth="1"/>
          <w:docGrid w:linePitch="360"/>
        </w:sectPr>
      </w:pPr>
      <w:r/>
      <w:r/>
    </w:p>
    <w:p>
      <w:pPr>
        <w:pStyle w:val="840"/>
        <w:ind w:left="38"/>
        <w:jc w:val="both"/>
        <w:spacing w:before="259" w:line="322" w:lineRule="exact"/>
        <w:shd w:val="clear" w:color="auto" w:fill="ffffff"/>
      </w:pPr>
      <w:r>
        <w:rPr>
          <w:sz w:val="28"/>
          <w:szCs w:val="28"/>
        </w:rPr>
        <w:t xml:space="preserve">лица), обязательных требований, предусмотренных правилами технической эксплуатации внеуличного транспорта и правилами пользования внеуличным транспортом.</w:t>
      </w:r>
      <w:r/>
    </w:p>
    <w:p>
      <w:pPr>
        <w:pStyle w:val="840"/>
        <w:ind w:left="38" w:right="5" w:firstLine="710"/>
        <w:jc w:val="both"/>
        <w:spacing w:line="322" w:lineRule="exact"/>
        <w:shd w:val="clear" w:color="auto" w:fill="ffffff"/>
      </w:pPr>
      <w:r>
        <w:rPr>
          <w:sz w:val="28"/>
          <w:szCs w:val="28"/>
        </w:rPr>
        <w:t xml:space="preserve">В Новосибирской области указанный вид деятельности осуществляет одно юридическое лицо - муниципальное унитарное предприятие города Новосибирска «Новосибирский метрополитен» (далее – МУП г. Новосибирска «Новосибирский метрополитен»).</w:t>
      </w:r>
      <w:r/>
    </w:p>
    <w:p>
      <w:pPr>
        <w:pStyle w:val="840"/>
        <w:ind w:left="29" w:right="5" w:firstLine="696"/>
        <w:jc w:val="both"/>
        <w:spacing w:line="322" w:lineRule="exact"/>
        <w:shd w:val="clear" w:color="auto" w:fill="ffffff"/>
      </w:pPr>
      <w:r>
        <w:rPr>
          <w:sz w:val="28"/>
          <w:szCs w:val="28"/>
        </w:rPr>
        <w:t xml:space="preserve">В соответствии с Федеральным законом от 29 декабря 2017 года № 442-ФЗ </w:t>
      </w:r>
      <w:r>
        <w:rPr>
          <w:spacing w:val="-1"/>
          <w:sz w:val="28"/>
          <w:szCs w:val="28"/>
        </w:rPr>
        <w:t xml:space="preserve">«О внеуличном транспорте и о внесении изменений в отдельные законодательные </w:t>
      </w:r>
      <w:r>
        <w:rPr>
          <w:sz w:val="28"/>
          <w:szCs w:val="28"/>
        </w:rPr>
        <w:t xml:space="preserve">акты Российской Федерации» постановлением Правительства Новосибирской области от 17.09.2019 № 374-п утверждены Правила пользовани</w:t>
      </w:r>
      <w:r>
        <w:rPr>
          <w:sz w:val="28"/>
          <w:szCs w:val="28"/>
        </w:rPr>
        <w:t xml:space="preserve">я Новосибирским метрополитеном (далее - правила пользования), постановлением Правительства  Новосибирской области от 28.10.2019 № 417-п утверждены Правила технической эксплуатации Новосибирского метрополитена (далее - правила технической эксплуатации).</w:t>
      </w:r>
      <w:r/>
    </w:p>
    <w:p>
      <w:pPr>
        <w:pStyle w:val="840"/>
        <w:ind w:left="19" w:right="10" w:firstLine="715"/>
        <w:jc w:val="both"/>
        <w:spacing w:line="322" w:lineRule="exact"/>
        <w:shd w:val="clear" w:color="auto" w:fill="ffffff"/>
      </w:pPr>
      <w:r>
        <w:rPr>
          <w:sz w:val="28"/>
          <w:szCs w:val="28"/>
        </w:rPr>
        <w:t xml:space="preserve">Федеральный государственный контроль (надзор) осуществляется Министерством посредством проведения контрольных (надзорных) мероприятий (инспекцион</w:t>
      </w:r>
      <w:r>
        <w:rPr>
          <w:sz w:val="28"/>
          <w:szCs w:val="28"/>
        </w:rPr>
        <w:t xml:space="preserve">ный визит, документарная проверка, выездная проверка), контрольных (надзорных) мероприятий без взаимодействия с контролируемым лицом (наблюдение за соблюдением обязательных требований, выездное обследование) и профилактических мероприятий (информирование, </w:t>
      </w:r>
      <w:r>
        <w:rPr>
          <w:spacing w:val="-2"/>
          <w:sz w:val="28"/>
          <w:szCs w:val="28"/>
        </w:rPr>
        <w:t xml:space="preserve">консультирование, объявление предостережения, обязательный профилактический </w:t>
      </w:r>
      <w:r>
        <w:rPr>
          <w:sz w:val="28"/>
          <w:szCs w:val="28"/>
        </w:rPr>
        <w:t xml:space="preserve">визит, обобщение правоприменительной практики).</w:t>
      </w:r>
      <w:r/>
    </w:p>
    <w:p>
      <w:pPr>
        <w:pStyle w:val="840"/>
        <w:ind w:left="19" w:right="19" w:firstLine="715"/>
        <w:jc w:val="both"/>
        <w:spacing w:line="322" w:lineRule="exact"/>
        <w:shd w:val="clear" w:color="auto" w:fill="ffffff"/>
      </w:pPr>
      <w:r>
        <w:rPr>
          <w:sz w:val="28"/>
          <w:szCs w:val="28"/>
        </w:rPr>
        <w:t xml:space="preserve">Обобщение правоприменительной практики по федеральному </w:t>
      </w:r>
      <w:r>
        <w:rPr>
          <w:spacing w:val="-1"/>
          <w:sz w:val="28"/>
          <w:szCs w:val="28"/>
        </w:rPr>
        <w:t xml:space="preserve">государственному контролю (надзору) осуществляется в целях:</w:t>
      </w:r>
      <w:r/>
    </w:p>
    <w:p>
      <w:pPr>
        <w:pStyle w:val="840"/>
        <w:numPr>
          <w:ilvl w:val="0"/>
          <w:numId w:val="2"/>
        </w:numPr>
        <w:ind w:left="10" w:right="24" w:firstLine="552"/>
        <w:jc w:val="both"/>
        <w:spacing w:line="322" w:lineRule="exact"/>
        <w:shd w:val="clear" w:color="auto" w:fill="ffffff"/>
        <w:tabs>
          <w:tab w:val="left" w:pos="984" w:leader="none"/>
        </w:tabs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обеспечения единства практики применения Министерством законов и иных нормативных правовых актов Российской Федерации, законов и иных нормативных правовых актов Новосибирской области, иных нормативных </w:t>
      </w:r>
      <w:r>
        <w:rPr>
          <w:spacing w:val="-1"/>
          <w:sz w:val="28"/>
          <w:szCs w:val="28"/>
        </w:rPr>
        <w:t xml:space="preserve">документов, обязательность применения которых установлена законодательством </w:t>
      </w:r>
      <w:r>
        <w:rPr>
          <w:sz w:val="28"/>
          <w:szCs w:val="28"/>
        </w:rPr>
        <w:t xml:space="preserve">Российской Федерации;</w:t>
      </w:r>
      <w:r>
        <w:rPr>
          <w:spacing w:val="-13"/>
          <w:sz w:val="28"/>
          <w:szCs w:val="28"/>
        </w:rPr>
      </w:r>
      <w:r>
        <w:rPr>
          <w:spacing w:val="-13"/>
          <w:sz w:val="28"/>
          <w:szCs w:val="28"/>
        </w:rPr>
      </w:r>
    </w:p>
    <w:p>
      <w:pPr>
        <w:pStyle w:val="840"/>
        <w:numPr>
          <w:ilvl w:val="0"/>
          <w:numId w:val="2"/>
        </w:numPr>
        <w:ind w:left="10" w:right="29" w:firstLine="552"/>
        <w:jc w:val="both"/>
        <w:spacing w:line="322" w:lineRule="exact"/>
        <w:shd w:val="clear" w:color="auto" w:fill="ffffff"/>
        <w:tabs>
          <w:tab w:val="left" w:pos="984" w:leader="none"/>
        </w:tabs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обеспечения доступности сведений о правоприменительной практике </w:t>
      </w:r>
      <w:r>
        <w:rPr>
          <w:spacing w:val="-1"/>
          <w:sz w:val="28"/>
          <w:szCs w:val="28"/>
        </w:rPr>
        <w:t xml:space="preserve">Министерства путем их публикации для сведения контролируемых лиц;</w:t>
      </w:r>
      <w:r>
        <w:rPr>
          <w:spacing w:val="-15"/>
          <w:sz w:val="28"/>
          <w:szCs w:val="28"/>
        </w:rPr>
      </w:r>
      <w:r>
        <w:rPr>
          <w:spacing w:val="-15"/>
          <w:sz w:val="28"/>
          <w:szCs w:val="28"/>
        </w:rPr>
      </w:r>
    </w:p>
    <w:p>
      <w:pPr>
        <w:pStyle w:val="84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0"/>
        <w:numPr>
          <w:ilvl w:val="0"/>
          <w:numId w:val="3"/>
        </w:numPr>
        <w:ind w:left="5" w:right="29" w:firstLine="538"/>
        <w:jc w:val="both"/>
        <w:spacing w:line="322" w:lineRule="exact"/>
        <w:shd w:val="clear" w:color="auto" w:fill="ffffff"/>
        <w:tabs>
          <w:tab w:val="left" w:pos="874" w:leader="none"/>
        </w:tabs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снижения количества нарушений обязательных требований и повышение уровня защищенности охраняемых законом ценностей за счет обеспечения информированности контролируемых лиц о практике применения обязательных требований;</w:t>
      </w:r>
      <w:r>
        <w:rPr>
          <w:spacing w:val="-13"/>
          <w:sz w:val="28"/>
          <w:szCs w:val="28"/>
        </w:rPr>
      </w:r>
      <w:r>
        <w:rPr>
          <w:spacing w:val="-13"/>
          <w:sz w:val="28"/>
          <w:szCs w:val="28"/>
        </w:rPr>
      </w:r>
    </w:p>
    <w:p>
      <w:pPr>
        <w:pStyle w:val="840"/>
        <w:numPr>
          <w:ilvl w:val="0"/>
          <w:numId w:val="3"/>
        </w:numPr>
        <w:ind w:left="5" w:right="29" w:firstLine="538"/>
        <w:jc w:val="both"/>
        <w:spacing w:line="322" w:lineRule="exact"/>
        <w:shd w:val="clear" w:color="auto" w:fill="ffffff"/>
        <w:tabs>
          <w:tab w:val="left" w:pos="874" w:leader="none"/>
        </w:tabs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повышения уровня защищенности охраняемых законом ценностей за счет обеспечения соблюдения обязательных требований;</w:t>
      </w:r>
      <w:r>
        <w:rPr>
          <w:spacing w:val="-8"/>
          <w:sz w:val="28"/>
          <w:szCs w:val="28"/>
        </w:rPr>
      </w:r>
      <w:r>
        <w:rPr>
          <w:spacing w:val="-8"/>
          <w:sz w:val="28"/>
          <w:szCs w:val="28"/>
        </w:rPr>
      </w:r>
    </w:p>
    <w:p>
      <w:pPr>
        <w:pStyle w:val="840"/>
        <w:ind w:right="38" w:firstLine="552"/>
        <w:jc w:val="both"/>
        <w:spacing w:line="322" w:lineRule="exact"/>
        <w:shd w:val="clear" w:color="auto" w:fill="ffffff"/>
        <w:tabs>
          <w:tab w:val="left" w:pos="1051" w:leader="none"/>
        </w:tabs>
      </w:pPr>
      <w:r>
        <w:rPr>
          <w:spacing w:val="-15"/>
          <w:sz w:val="28"/>
          <w:szCs w:val="28"/>
        </w:rPr>
        <w:t xml:space="preserve">5)</w:t>
      </w:r>
      <w:r>
        <w:rPr>
          <w:sz w:val="28"/>
          <w:szCs w:val="28"/>
        </w:rPr>
        <w:tab/>
        <w:t xml:space="preserve">совершенствования нормативных правовых актов для устранения</w:t>
        <w:br w:type="textWrapping" w:clear="all"/>
        <w:t xml:space="preserve">устаревших, дублирующих и избыточных обязательных требований, устранения</w:t>
        <w:br w:type="textWrapping" w:clear="all"/>
        <w:t xml:space="preserve">избыточных контрольно-надзорных функций.</w:t>
      </w:r>
      <w:r/>
    </w:p>
    <w:p>
      <w:pPr>
        <w:pStyle w:val="840"/>
        <w:ind w:left="5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Задачами обобщения и анализа правоприменительной практики являются:</w:t>
      </w:r>
      <w:r/>
    </w:p>
    <w:p>
      <w:pPr>
        <w:ind w:left="5" w:right="0" w:firstLine="562"/>
        <w:spacing w:line="322" w:lineRule="exact"/>
        <w:shd w:val="clear" w:color="auto" w:fill="ffffff"/>
      </w:pPr>
      <w:r>
        <w:rPr>
          <w:sz w:val="28"/>
          <w:szCs w:val="28"/>
        </w:rPr>
        <w:t xml:space="preserve"> 1) выявление      проблемных      вопросов      применения      Министерством обязательных требований;</w:t>
      </w:r>
      <w:r/>
      <w:r/>
    </w:p>
    <w:p>
      <w:pPr>
        <w:pStyle w:val="840"/>
        <w:ind w:left="5"/>
        <w:spacing w:line="322" w:lineRule="exact"/>
        <w:shd w:val="clear" w:color="auto" w:fill="ffffff"/>
        <w:sectPr>
          <w:footnotePr/>
          <w:endnotePr/>
          <w:type w:val="nextPage"/>
          <w:pgSz w:w="11909" w:h="16834" w:orient="portrait"/>
          <w:pgMar w:top="1193" w:right="439" w:bottom="360" w:left="1515" w:header="720" w:footer="720" w:gutter="0"/>
          <w:cols w:num="1" w:sep="0" w:space="60" w:equalWidth="1"/>
          <w:docGrid w:linePitch="360"/>
        </w:sectPr>
      </w:pPr>
      <w:r/>
      <w:r/>
    </w:p>
    <w:p>
      <w:pPr>
        <w:pStyle w:val="840"/>
        <w:numPr>
          <w:ilvl w:val="0"/>
          <w:numId w:val="4"/>
        </w:numPr>
        <w:ind w:left="29" w:firstLine="542"/>
        <w:jc w:val="both"/>
        <w:spacing w:before="274" w:line="322" w:lineRule="exact"/>
        <w:shd w:val="clear" w:color="auto" w:fill="ffffff"/>
        <w:tabs>
          <w:tab w:val="left" w:pos="874" w:leader="none"/>
        </w:tabs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  <w:r>
        <w:rPr>
          <w:spacing w:val="-11"/>
          <w:sz w:val="28"/>
          <w:szCs w:val="28"/>
        </w:rPr>
      </w:r>
      <w:r>
        <w:rPr>
          <w:spacing w:val="-11"/>
          <w:sz w:val="28"/>
          <w:szCs w:val="28"/>
        </w:rPr>
      </w:r>
    </w:p>
    <w:p>
      <w:pPr>
        <w:pStyle w:val="840"/>
        <w:numPr>
          <w:ilvl w:val="0"/>
          <w:numId w:val="4"/>
        </w:numPr>
        <w:ind w:left="29" w:right="5" w:firstLine="542"/>
        <w:jc w:val="both"/>
        <w:spacing w:line="322" w:lineRule="exact"/>
        <w:shd w:val="clear" w:color="auto" w:fill="ffffff"/>
        <w:tabs>
          <w:tab w:val="left" w:pos="874" w:leader="none"/>
        </w:tabs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выявление устаревших, дублирующих и избыточных обязательных требований, подготовка и внесение предложений по их устранению;</w:t>
      </w:r>
      <w:r>
        <w:rPr>
          <w:spacing w:val="-13"/>
          <w:sz w:val="28"/>
          <w:szCs w:val="28"/>
        </w:rPr>
      </w:r>
      <w:r>
        <w:rPr>
          <w:spacing w:val="-13"/>
          <w:sz w:val="28"/>
          <w:szCs w:val="28"/>
        </w:rPr>
      </w:r>
    </w:p>
    <w:p>
      <w:pPr>
        <w:pStyle w:val="840"/>
        <w:numPr>
          <w:ilvl w:val="0"/>
          <w:numId w:val="4"/>
        </w:numPr>
        <w:ind w:left="29" w:right="5" w:firstLine="542"/>
        <w:jc w:val="both"/>
        <w:spacing w:line="322" w:lineRule="exact"/>
        <w:shd w:val="clear" w:color="auto" w:fill="ffffff"/>
        <w:tabs>
          <w:tab w:val="left" w:pos="874" w:leader="none"/>
        </w:tabs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выявление избыточных контрольно-надзорных функций, подготовка и внесение предложений по их устранению;</w:t>
      </w:r>
      <w:r>
        <w:rPr>
          <w:spacing w:val="-8"/>
          <w:sz w:val="28"/>
          <w:szCs w:val="28"/>
        </w:rPr>
      </w:r>
      <w:r>
        <w:rPr>
          <w:spacing w:val="-8"/>
          <w:sz w:val="28"/>
          <w:szCs w:val="28"/>
        </w:rPr>
      </w:r>
    </w:p>
    <w:p>
      <w:pPr>
        <w:pStyle w:val="840"/>
        <w:numPr>
          <w:ilvl w:val="0"/>
          <w:numId w:val="4"/>
        </w:numPr>
        <w:ind w:left="571"/>
        <w:spacing w:line="322" w:lineRule="exact"/>
        <w:shd w:val="clear" w:color="auto" w:fill="ffffff"/>
        <w:tabs>
          <w:tab w:val="left" w:pos="874" w:leader="none"/>
        </w:tabs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подготовка предложений по совершенствованию законодательства;</w:t>
      </w:r>
      <w:r>
        <w:rPr>
          <w:spacing w:val="-13"/>
          <w:sz w:val="28"/>
          <w:szCs w:val="28"/>
        </w:rPr>
      </w:r>
      <w:r>
        <w:rPr>
          <w:spacing w:val="-13"/>
          <w:sz w:val="28"/>
          <w:szCs w:val="28"/>
        </w:rPr>
      </w:r>
    </w:p>
    <w:p>
      <w:pPr>
        <w:pStyle w:val="840"/>
        <w:numPr>
          <w:ilvl w:val="0"/>
          <w:numId w:val="4"/>
        </w:numPr>
        <w:ind w:left="29" w:right="5" w:firstLine="542"/>
        <w:jc w:val="both"/>
        <w:spacing w:before="5" w:line="322" w:lineRule="exact"/>
        <w:shd w:val="clear" w:color="auto" w:fill="ffffff"/>
        <w:tabs>
          <w:tab w:val="left" w:pos="874" w:leader="none"/>
        </w:tabs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  <w:r>
        <w:rPr>
          <w:spacing w:val="-13"/>
          <w:sz w:val="28"/>
          <w:szCs w:val="28"/>
        </w:rPr>
      </w:r>
      <w:r>
        <w:rPr>
          <w:spacing w:val="-13"/>
          <w:sz w:val="28"/>
          <w:szCs w:val="28"/>
        </w:rPr>
      </w:r>
    </w:p>
    <w:p>
      <w:pPr>
        <w:pStyle w:val="840"/>
        <w:ind w:left="96"/>
        <w:spacing w:before="336"/>
        <w:shd w:val="clear" w:color="auto" w:fill="ffffff"/>
      </w:pPr>
      <w:r>
        <w:rPr>
          <w:b/>
          <w:bCs/>
          <w:spacing w:val="-1"/>
          <w:sz w:val="28"/>
          <w:szCs w:val="28"/>
        </w:rPr>
        <w:t xml:space="preserve">2. Правоприменительная практика организации и проведения федерального</w:t>
      </w:r>
      <w:r/>
    </w:p>
    <w:p>
      <w:pPr>
        <w:pStyle w:val="840"/>
        <w:ind w:right="5"/>
        <w:jc w:val="center"/>
        <w:spacing w:before="19"/>
        <w:shd w:val="clear" w:color="auto" w:fill="ffffff"/>
      </w:pPr>
      <w:r>
        <w:rPr>
          <w:b/>
          <w:bCs/>
          <w:sz w:val="28"/>
          <w:szCs w:val="28"/>
        </w:rPr>
        <w:t xml:space="preserve">государственного контроля (надзора)</w:t>
      </w:r>
      <w:r/>
    </w:p>
    <w:p>
      <w:pPr>
        <w:pStyle w:val="840"/>
        <w:ind w:left="19" w:right="14" w:firstLine="734"/>
        <w:jc w:val="both"/>
        <w:spacing w:before="336" w:line="312" w:lineRule="exact"/>
        <w:shd w:val="clear" w:color="auto" w:fill="ffffff"/>
      </w:pPr>
      <w:r>
        <w:rPr>
          <w:sz w:val="28"/>
          <w:szCs w:val="28"/>
        </w:rPr>
        <w:t xml:space="preserve">Объектами федерального государственного контроля (надзора) являются: деятельность по эксплуатации метрополитена, объекты инфраструктуры метрополитена и подвижной состав метрополитена.</w:t>
      </w:r>
      <w:r/>
    </w:p>
    <w:p>
      <w:pPr>
        <w:pStyle w:val="840"/>
        <w:ind w:left="19" w:right="14" w:firstLine="720"/>
        <w:jc w:val="both"/>
        <w:spacing w:line="31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21 Положения с учетом тяжести потенциал</w:t>
      </w:r>
      <w:r>
        <w:rPr>
          <w:sz w:val="28"/>
          <w:szCs w:val="28"/>
        </w:rPr>
        <w:t xml:space="preserve">ьных негативных последствий возможного несоблюдения контролируемым лицом обязательных требований (группа тяжести) и вероятности несоблюдения контролируемым лицом обязательных требований (группа вероятности) </w:t>
      </w:r>
      <w:r>
        <w:rPr>
          <w:spacing w:val="-1"/>
          <w:sz w:val="28"/>
          <w:szCs w:val="28"/>
        </w:rPr>
        <w:t xml:space="preserve">в 2022 году все объекты контроля отнесены к категории низкого риска. Плановые </w:t>
      </w:r>
      <w:r>
        <w:rPr>
          <w:sz w:val="28"/>
          <w:szCs w:val="28"/>
        </w:rPr>
        <w:t xml:space="preserve">контрольные (надзорные) мероприятия в отношении указанных объектов не проводились.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24" w:right="19" w:firstLine="720"/>
        <w:jc w:val="both"/>
        <w:spacing w:line="312" w:lineRule="exact"/>
        <w:shd w:val="clear" w:color="auto" w:fill="ffffff"/>
      </w:pPr>
      <w:r>
        <w:rPr>
          <w:sz w:val="28"/>
          <w:szCs w:val="28"/>
        </w:rPr>
        <w:t xml:space="preserve">Заявлений и обращений граждан, содержащих сведения о нарушении обязательных требований, причинении вреда или угрозе причинения вреда охраняемым законом ценностям в 2021 году не поступало.</w:t>
      </w:r>
      <w:r/>
    </w:p>
    <w:p>
      <w:pPr>
        <w:pStyle w:val="840"/>
        <w:ind w:left="14" w:right="19" w:firstLine="725"/>
        <w:jc w:val="both"/>
        <w:spacing w:before="5" w:line="312" w:lineRule="exact"/>
        <w:shd w:val="clear" w:color="auto" w:fill="ffffff"/>
      </w:pPr>
      <w:r>
        <w:rPr>
          <w:sz w:val="28"/>
          <w:szCs w:val="28"/>
        </w:rPr>
        <w:t xml:space="preserve">К административной ответственности при осуществлении федерального государственного контроля (надзора) юридическое лицо, его должностные лица не привлекались.</w:t>
      </w:r>
      <w:r/>
    </w:p>
    <w:p>
      <w:pPr>
        <w:pStyle w:val="840"/>
        <w:ind w:right="24" w:firstLine="720"/>
        <w:jc w:val="both"/>
        <w:spacing w:before="5" w:line="312" w:lineRule="exact"/>
        <w:shd w:val="clear" w:color="auto" w:fill="ffffff"/>
      </w:pPr>
      <w:r>
        <w:rPr>
          <w:sz w:val="28"/>
          <w:szCs w:val="28"/>
        </w:rPr>
        <w:t xml:space="preserve">В течение года Министерством проводились профилактические мероприятия, предусмотренные Программой профилактики рисков причинения </w:t>
      </w:r>
      <w:r>
        <w:rPr>
          <w:spacing w:val="-1"/>
          <w:sz w:val="28"/>
          <w:szCs w:val="28"/>
        </w:rPr>
        <w:t xml:space="preserve">вреда (ущерба) охраняемым законом ценностям при осуществлении федерального </w:t>
      </w:r>
      <w:r>
        <w:rPr>
          <w:sz w:val="28"/>
          <w:szCs w:val="28"/>
        </w:rPr>
        <w:t xml:space="preserve">государственного контроля (надзора), утвержденной приказом Министра транспорта и дорожного хозяйства. На официа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ьном сайте Министерства в информационно-телекоммуникационной сети «Интернет», а также на Портале по контрольно-надзорной деятельности в Новосибирской области размещалась информация, касающаяся осуществления федерального государственного контроля (надзора).</w:t>
      </w:r>
      <w:r/>
    </w:p>
    <w:p>
      <w:pPr>
        <w:pStyle w:val="840"/>
        <w:ind w:left="48" w:firstLine="720"/>
        <w:jc w:val="both"/>
        <w:spacing w:line="317" w:lineRule="exact"/>
        <w:shd w:val="clear" w:color="auto" w:fill="ffffff"/>
      </w:pPr>
      <w:r>
        <w:rPr>
          <w:sz w:val="28"/>
          <w:szCs w:val="28"/>
        </w:rPr>
        <w:t xml:space="preserve">Обращений за получением консультаций о нали</w:t>
      </w:r>
      <w:r>
        <w:rPr>
          <w:sz w:val="28"/>
          <w:szCs w:val="28"/>
        </w:rPr>
        <w:t xml:space="preserve">чии и (или) содержании обязательных требований; периодичности и порядке проведения контрольных (надзорных) мероприятий; содержании проверочных листов; проведенных контрольных (надзорных) мероприятиях и проводимых профилактических мероприятиях не поступало.</w:t>
      </w:r>
      <w:r/>
    </w:p>
    <w:p>
      <w:pPr>
        <w:pStyle w:val="840"/>
        <w:ind w:left="38" w:right="5" w:firstLine="710"/>
        <w:jc w:val="both"/>
        <w:spacing w:line="317" w:lineRule="exact"/>
        <w:shd w:val="clear" w:color="auto" w:fill="ffffff"/>
      </w:pPr>
      <w:r>
        <w:rPr>
          <w:sz w:val="28"/>
          <w:szCs w:val="28"/>
        </w:rPr>
        <w:t xml:space="preserve">В связи с отсутствием объектов федерального государственного контроля </w:t>
      </w:r>
      <w:r>
        <w:rPr>
          <w:spacing w:val="-3"/>
          <w:sz w:val="28"/>
          <w:szCs w:val="28"/>
        </w:rPr>
        <w:t xml:space="preserve">(надзора), отнесенных к категории высокого риска, и отсутствием контролируемых </w:t>
      </w:r>
      <w:r>
        <w:rPr>
          <w:sz w:val="28"/>
          <w:szCs w:val="28"/>
        </w:rPr>
        <w:t xml:space="preserve">лиц, которые впервые начали осуществлять деятельность в области внеуличного транспорта, обязательные профилактические визиты не проводились.</w:t>
      </w:r>
      <w:r/>
    </w:p>
    <w:p>
      <w:pPr>
        <w:pStyle w:val="840"/>
        <w:ind w:left="34" w:right="10" w:firstLine="715"/>
        <w:jc w:val="both"/>
        <w:spacing w:line="317" w:lineRule="exact"/>
        <w:shd w:val="clear" w:color="auto" w:fill="ffffff"/>
      </w:pPr>
      <w:r>
        <w:rPr>
          <w:spacing w:val="-1"/>
          <w:sz w:val="28"/>
          <w:szCs w:val="28"/>
        </w:rPr>
        <w:t xml:space="preserve">Жалоб на решения Министерства, действий (бездействие) его должностных </w:t>
      </w:r>
      <w:r>
        <w:rPr>
          <w:sz w:val="28"/>
          <w:szCs w:val="28"/>
        </w:rPr>
        <w:t xml:space="preserve">лиц от контролируемого лица не поступало.</w:t>
      </w:r>
      <w:r/>
    </w:p>
    <w:p>
      <w:pPr>
        <w:pStyle w:val="840"/>
        <w:ind w:left="1267"/>
        <w:spacing w:before="178"/>
        <w:shd w:val="clear" w:color="auto" w:fill="ffffff"/>
      </w:pPr>
      <w:r>
        <w:rPr>
          <w:b/>
          <w:bCs/>
          <w:spacing w:val="-10"/>
          <w:sz w:val="30"/>
          <w:szCs w:val="30"/>
        </w:rPr>
        <w:t xml:space="preserve">3. Предложения по совершенствованию законодательства</w:t>
      </w:r>
      <w:r/>
    </w:p>
    <w:p>
      <w:pPr>
        <w:pStyle w:val="840"/>
        <w:ind w:right="5" w:firstLine="552"/>
        <w:jc w:val="both"/>
        <w:spacing w:before="226" w:line="322" w:lineRule="exact"/>
        <w:shd w:val="clear" w:color="auto" w:fill="ffffff"/>
        <w:rPr>
          <w:sz w:val="30"/>
          <w:szCs w:val="30"/>
        </w:rPr>
      </w:pPr>
      <w:r>
        <w:rPr>
          <w:spacing w:val="-2"/>
          <w:sz w:val="30"/>
          <w:szCs w:val="30"/>
        </w:rPr>
        <w:t xml:space="preserve">Предложения о внесении изменений в нормативные правовые акты, </w:t>
      </w:r>
      <w:r>
        <w:rPr>
          <w:spacing w:val="-10"/>
          <w:sz w:val="30"/>
          <w:szCs w:val="30"/>
        </w:rPr>
        <w:t xml:space="preserve">содержащие обязательные требования, в 2022 году не поступали, самостоятельно </w:t>
      </w:r>
      <w:r>
        <w:rPr>
          <w:sz w:val="30"/>
          <w:szCs w:val="30"/>
        </w:rPr>
        <w:t xml:space="preserve">Министерством не инициировались.</w:t>
      </w:r>
      <w:r>
        <w:rPr>
          <w:sz w:val="30"/>
          <w:szCs w:val="30"/>
        </w:rPr>
      </w:r>
      <w:r>
        <w:rPr>
          <w:sz w:val="30"/>
          <w:szCs w:val="30"/>
        </w:rPr>
      </w:r>
    </w:p>
    <w:sectPr>
      <w:footnotePr/>
      <w:endnotePr/>
      <w:type w:val="nextPage"/>
      <w:pgSz w:w="11909" w:h="16834" w:orient="portrait"/>
      <w:pgMar w:top="1440" w:right="446" w:bottom="720" w:left="1555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pPr>
      <w:widowControl w:val="off"/>
    </w:pPr>
    <w:rPr>
      <w:rFonts w:ascii="Times New Roman" w:hAnsi="Times New Roman" w:cs="Times New Roman"/>
      <w:lang w:val="ru-RU" w:eastAsia="ru-RU" w:bidi="ar-SA"/>
    </w:rPr>
  </w:style>
  <w:style w:type="character" w:styleId="841">
    <w:name w:val="Основной шрифт абзаца"/>
    <w:next w:val="841"/>
    <w:link w:val="840"/>
    <w:uiPriority w:val="1"/>
    <w:semiHidden/>
    <w:unhideWhenUsed/>
  </w:style>
  <w:style w:type="table" w:styleId="842">
    <w:name w:val="Обычная таблица"/>
    <w:next w:val="842"/>
    <w:link w:val="840"/>
    <w:uiPriority w:val="99"/>
    <w:semiHidden/>
    <w:unhideWhenUsed/>
    <w:tblPr/>
  </w:style>
  <w:style w:type="numbering" w:styleId="843">
    <w:name w:val="Нет списка"/>
    <w:next w:val="843"/>
    <w:link w:val="840"/>
    <w:uiPriority w:val="99"/>
    <w:semiHidden/>
    <w:unhideWhenUsed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revision>6</cp:revision>
  <dcterms:created xsi:type="dcterms:W3CDTF">2024-05-31T08:37:00Z</dcterms:created>
  <dcterms:modified xsi:type="dcterms:W3CDTF">2024-05-31T09:51:08Z</dcterms:modified>
  <cp:version>1048576</cp:version>
</cp:coreProperties>
</file>