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1455" w:rsidRDefault="00A16469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Приложение № 4</w:t>
      </w:r>
    </w:p>
    <w:p w:rsidR="00B31455" w:rsidRDefault="00A16469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 приказу министерства транспорта</w:t>
      </w:r>
    </w:p>
    <w:p w:rsidR="00B31455" w:rsidRDefault="00A16469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 дорожного хозяйства</w:t>
      </w:r>
    </w:p>
    <w:p w:rsidR="00B31455" w:rsidRDefault="00A16469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B31455" w:rsidRDefault="00A16469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«__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_»_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_____ № ____</w:t>
      </w:r>
    </w:p>
    <w:p w:rsidR="00B31455" w:rsidRDefault="00B31455">
      <w:pPr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31455" w:rsidRDefault="00B31455">
      <w:pPr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31455" w:rsidRDefault="00A16469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ПРОГРАММА</w:t>
      </w:r>
    </w:p>
    <w:p w:rsidR="00B31455" w:rsidRDefault="00A16469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министерством транспорта и 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дорожного хозяйства Новосибирской области федерального государственного контроля (надзора) за соблюдением правил технической эксплуатации внеуличного транспорта и правил пользования внеуличным транспортом на территории</w:t>
      </w:r>
    </w:p>
    <w:p w:rsidR="00B31455" w:rsidRDefault="00A16469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Новосибирской области на 2024 год</w:t>
      </w:r>
    </w:p>
    <w:p w:rsidR="00B31455" w:rsidRDefault="00B31455">
      <w:pPr>
        <w:spacing w:after="0" w:line="240" w:lineRule="auto"/>
        <w:ind w:firstLine="1276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B31455" w:rsidRDefault="00A16469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  <w:lang w:val="en-US"/>
        </w:rPr>
        <w:t>I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.</w:t>
      </w:r>
      <w:r>
        <w:rPr>
          <w:rFonts w:ascii="TimesNewRomanPS-BoldMT" w:hAnsi="TimesNewRomanPS-BoldMT" w:cs="TimesNewRomanPS-BoldMT"/>
          <w:b/>
          <w:bCs/>
          <w:sz w:val="28"/>
          <w:szCs w:val="28"/>
          <w:lang w:val="en-US"/>
        </w:rPr>
        <w:t> 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Общие положения</w:t>
      </w:r>
    </w:p>
    <w:p w:rsidR="00B31455" w:rsidRDefault="00B31455">
      <w:pPr>
        <w:spacing w:after="0" w:line="240" w:lineRule="auto"/>
        <w:ind w:left="1276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Программа профилактики разработана министерством транспорта и дорожного хозяйства Новосибирской области (далее – министерство) в соответствии с частью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1 статьи 6 Федерального закона от 29.12.2017 № 442-ФЗ «О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внеуличном транспорте и о внес</w:t>
      </w:r>
      <w:r>
        <w:rPr>
          <w:rFonts w:ascii="TimesNewRomanPSMT" w:hAnsi="TimesNewRomanPSMT" w:cs="TimesNewRomanPSMT"/>
          <w:sz w:val="28"/>
          <w:szCs w:val="28"/>
        </w:rPr>
        <w:t>ении изменений в отдельные законодательные акты Российской Федерации» (далее - Федеральный закон № 442-ФЗ), статьей 44 Федерального закона от 31.07.2020 №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 xml:space="preserve">248-ФЗ «О государственном контроле (надзоре) и муниципальном контроле в Российской Федерации» (далее </w:t>
      </w:r>
      <w:r>
        <w:rPr>
          <w:rFonts w:ascii="TimesNewRomanPSMT" w:hAnsi="TimesNewRomanPSMT" w:cs="TimesNewRomanPSMT"/>
          <w:sz w:val="28"/>
          <w:szCs w:val="28"/>
        </w:rPr>
        <w:t>– Федеральный закон № 248-ФЗ), постановлением Правительства Российской Федерации от 25.06.2021 №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</w:t>
      </w:r>
      <w:r>
        <w:rPr>
          <w:rFonts w:ascii="TimesNewRomanPSMT" w:hAnsi="TimesNewRomanPSMT" w:cs="TimesNewRomanPSMT"/>
          <w:sz w:val="28"/>
          <w:szCs w:val="28"/>
        </w:rPr>
        <w:t>ом ценностям», Законом Новосибирской области от 05.05.2016 № 55-ОЗ «Об отдельных вопросах организации транспортного обслуживания населения на территории Новосибирской области» и на основании постановления Правительства Новосибирской области от 19.10.2015 №</w:t>
      </w:r>
      <w:r>
        <w:rPr>
          <w:rFonts w:ascii="TimesNewRomanPSMT" w:hAnsi="TimesNewRomanPSMT" w:cs="TimesNewRomanPSMT"/>
          <w:sz w:val="28"/>
          <w:szCs w:val="28"/>
        </w:rPr>
        <w:t> 382-п «Об утверждении Положения о министерстве транспорта и дорожного хозяйства Новосибирской области».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Программа профилактики направлена на информирование контролируемых лиц и иных заинтересованных лиц по вопросам соблюдения обязательных требований. При </w:t>
      </w:r>
      <w:r>
        <w:rPr>
          <w:rFonts w:ascii="TimesNewRomanPSMT" w:hAnsi="TimesNewRomanPSMT" w:cs="TimesNewRomanPSMT"/>
          <w:sz w:val="28"/>
          <w:szCs w:val="28"/>
        </w:rPr>
        <w:t>осуществлении федерального государственного контроля (надзора)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(надзорных) мероприятий.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Предметом</w:t>
      </w:r>
      <w:r>
        <w:rPr>
          <w:rFonts w:ascii="TimesNewRomanPSMT" w:hAnsi="TimesNewRomanPSMT" w:cs="TimesNewRomanPSMT"/>
          <w:sz w:val="28"/>
          <w:szCs w:val="28"/>
        </w:rPr>
        <w:t xml:space="preserve"> федерального государственного контроля (надзора) за соблюдением правил технической эксплуатации внеуличного транспорта и правил пользования внеуличным транспортом в Новосибирской области (далее – федеральный государственный контроль (надзор) является собл</w:t>
      </w:r>
      <w:r>
        <w:rPr>
          <w:rFonts w:ascii="TimesNewRomanPSMT" w:hAnsi="TimesNewRomanPSMT" w:cs="TimesNewRomanPSMT"/>
          <w:sz w:val="28"/>
          <w:szCs w:val="28"/>
        </w:rPr>
        <w:t xml:space="preserve">юдение юридическими лицами, индивидуальными предпринимателями, осуществляющими эксплуатацию подвижного состава внеуличного транспорта и </w:t>
      </w:r>
      <w:r>
        <w:rPr>
          <w:rFonts w:ascii="TimesNewRomanPSMT" w:hAnsi="TimesNewRomanPSMT" w:cs="TimesNewRomanPSMT"/>
          <w:sz w:val="28"/>
          <w:szCs w:val="28"/>
        </w:rPr>
        <w:lastRenderedPageBreak/>
        <w:t>объектов инфраструктуры внеуличного транспорта (далее - контролируемые лица), обязательных требований, предусмотренных п</w:t>
      </w:r>
      <w:r>
        <w:rPr>
          <w:rFonts w:ascii="TimesNewRomanPSMT" w:hAnsi="TimesNewRomanPSMT" w:cs="TimesNewRomanPSMT"/>
          <w:sz w:val="28"/>
          <w:szCs w:val="28"/>
        </w:rPr>
        <w:t>равилами технической эксплуатации внеуличного транспорта и правилами пользования внеуличным транспортом, утвержденными Правительством Новосибирской области в соответствии с Федеральным законом № 442-ФЗ (далее - обязательные требования) федеральный государс</w:t>
      </w:r>
      <w:r>
        <w:rPr>
          <w:rFonts w:ascii="TimesNewRomanPSMT" w:hAnsi="TimesNewRomanPSMT" w:cs="TimesNewRomanPSMT"/>
          <w:sz w:val="28"/>
          <w:szCs w:val="28"/>
        </w:rPr>
        <w:t xml:space="preserve">твенный контроль (надзор) осуществляется в форме плановых и внеплановых проверок, а также профилактических мероприятий, направленных на предупреждение нарушений обязательных требований. 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Контролируемыми лицами, в рамках федерального государственного контро</w:t>
      </w:r>
      <w:r>
        <w:rPr>
          <w:rFonts w:ascii="TimesNewRomanPSMT" w:hAnsi="TimesNewRomanPSMT" w:cs="TimesNewRomanPSMT"/>
          <w:sz w:val="28"/>
          <w:szCs w:val="28"/>
        </w:rPr>
        <w:t>ля (надзора), на территории Новосибирской области является муниципальное унитарное предприятие города Новосибирска «Новосибирский метрополитен».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Объектами федерального государственного контроля (надзора) являются: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а) в рамках пункта 1 части 1 статьи 16 Фед</w:t>
      </w:r>
      <w:r>
        <w:rPr>
          <w:rFonts w:ascii="TimesNewRomanPSMT" w:hAnsi="TimesNewRomanPSMT" w:cs="TimesNewRomanPSMT"/>
          <w:sz w:val="28"/>
          <w:szCs w:val="28"/>
        </w:rPr>
        <w:t>ерального закона № 248-ФЗ -деятельность по эксплуатации внеуличного транспорта;</w:t>
      </w:r>
    </w:p>
    <w:p w:rsidR="00B31455" w:rsidRDefault="00A16469">
      <w:pPr>
        <w:spacing w:after="0" w:line="240" w:lineRule="auto"/>
        <w:ind w:left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б) в рамках пункта 3 части 1 статьи 16 Федерального закона № 248-ФЗ: объекты инфраструктуры внеуличного транспорта; 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подвижной состав внеуличного транспорта.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Ответственным </w:t>
      </w:r>
      <w:r>
        <w:rPr>
          <w:rFonts w:ascii="TimesNewRomanPSMT" w:hAnsi="TimesNewRomanPSMT" w:cs="TimesNewRomanPSMT"/>
          <w:sz w:val="28"/>
          <w:szCs w:val="28"/>
        </w:rPr>
        <w:t>исполнителем за реализацию профилактических мероприятий программы профилактики является консультант отдела развития транспорта и инфраструктуры министерства.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Ответственным исполнителем за размещение информации на сайте министерства в информационно-телекомм</w:t>
      </w:r>
      <w:r>
        <w:rPr>
          <w:rFonts w:ascii="TimesNewRomanPSMT" w:hAnsi="TimesNewRomanPSMT" w:cs="TimesNewRomanPSMT"/>
          <w:sz w:val="28"/>
          <w:szCs w:val="28"/>
        </w:rPr>
        <w:t xml:space="preserve">уникационной сети «Интернет» является консультант отдела развития транспорта и инфраструктуры министерства. </w:t>
      </w:r>
    </w:p>
    <w:p w:rsidR="00B31455" w:rsidRDefault="00B31455">
      <w:pPr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</w:p>
    <w:p w:rsidR="00B31455" w:rsidRDefault="00A16469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  <w:lang w:val="en-US"/>
        </w:rPr>
        <w:t>II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. Анализ текущего состояния осуществления федерального государственного контроля (надзора), описание текущего развития профилактической деятельн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ости контрольного органа, характеристика проблем, на решение которых направлена Программа профилактики</w:t>
      </w:r>
    </w:p>
    <w:p w:rsidR="00B31455" w:rsidRDefault="00B31455">
      <w:pPr>
        <w:spacing w:after="0" w:line="240" w:lineRule="auto"/>
        <w:ind w:left="2268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В соответствии с требованиями Федерального закона № 248-ФЗ</w:t>
      </w:r>
      <w:r>
        <w:rPr>
          <w:rFonts w:ascii="TimesNewRomanPSMT" w:hAnsi="TimesNewRomanPSMT" w:cs="TimesNewRomanPSMT"/>
          <w:sz w:val="28"/>
          <w:szCs w:val="28"/>
        </w:rPr>
        <w:t xml:space="preserve"> в срок до 1 сентября года, предшествующего году проведения плановых проверок, органы государственного контроля (надзора), органы муниципального контроля направляют проекты ежегодных планов проведения плановых проверок в органы прокуратуры. 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В соответствии</w:t>
      </w:r>
      <w:r>
        <w:rPr>
          <w:rFonts w:ascii="TimesNewRomanPSMT" w:hAnsi="TimesNewRomanPSMT" w:cs="TimesNewRomanPSMT"/>
          <w:sz w:val="28"/>
          <w:szCs w:val="28"/>
        </w:rPr>
        <w:t xml:space="preserve"> с пунктом 16 постановления Правительства Российской Федерации от 25.06.2021 № 1003 «Об утверждении Положения о федеральном государственном контроле (надзоре) за соблюдением правил технической эксплуатации внеуличного транспорта и правил пользования внеули</w:t>
      </w:r>
      <w:r>
        <w:rPr>
          <w:rFonts w:ascii="TimesNewRomanPSMT" w:hAnsi="TimesNewRomanPSMT" w:cs="TimesNewRomanPSMT"/>
          <w:sz w:val="28"/>
          <w:szCs w:val="28"/>
        </w:rPr>
        <w:t>чным транспортом» (далее также – Положение о федеральном государственном контроле (надзоре) и с учетом тяжести потенциальных негативных последствий возможного несоблюдения контролируемым лицом обязательных требований муниципальное унитарное предприятие гор</w:t>
      </w:r>
      <w:r>
        <w:rPr>
          <w:rFonts w:ascii="TimesNewRomanPSMT" w:hAnsi="TimesNewRomanPSMT" w:cs="TimesNewRomanPSMT"/>
          <w:sz w:val="28"/>
          <w:szCs w:val="28"/>
        </w:rPr>
        <w:t xml:space="preserve">ода Новосибирска «Новосибирский метрополитен» относится к следующей группе тяжести:  - группы тяжести «А» и «Б» (группа «А» </w:t>
      </w:r>
      <w:r>
        <w:rPr>
          <w:rFonts w:ascii="TimesNewRomanPSMT" w:hAnsi="TimesNewRomanPSMT" w:cs="TimesNewRomanPSMT"/>
          <w:sz w:val="28"/>
          <w:szCs w:val="28"/>
        </w:rPr>
        <w:lastRenderedPageBreak/>
        <w:t>- перевозка пассажиров и провоз ручной клади на метрополитене и подвижной состав внеуличного транспорта, группа «Б» - станции внеули</w:t>
      </w:r>
      <w:r>
        <w:rPr>
          <w:rFonts w:ascii="TimesNewRomanPSMT" w:hAnsi="TimesNewRomanPSMT" w:cs="TimesNewRomanPSMT"/>
          <w:sz w:val="28"/>
          <w:szCs w:val="28"/>
        </w:rPr>
        <w:t>чного транспорта).</w:t>
      </w:r>
      <w:r>
        <w:rPr>
          <w:rFonts w:ascii="TimesNewRomanPSMT" w:hAnsi="TimesNewRomanPSMT" w:cs="TimesNewRomanPSMT"/>
          <w:sz w:val="28"/>
          <w:szCs w:val="28"/>
          <w:highlight w:val="yellow"/>
        </w:rPr>
        <w:t xml:space="preserve"> 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В 2020, 2021 и 2022 годах случаев причинения контролируемым лицом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м</w:t>
      </w:r>
      <w:r>
        <w:rPr>
          <w:rFonts w:ascii="TimesNewRomanPSMT" w:hAnsi="TimesNewRomanPSMT" w:cs="TimesNewRomanPSMT"/>
          <w:sz w:val="28"/>
          <w:szCs w:val="28"/>
        </w:rPr>
        <w:t>узейным предметам и коллекциям, включенным в состав национального библиотечного фонда, имуществу физических и юридических лиц, безопасности государства, случаев возникновения чрезвычайных ситуаций природного и техногенного характера и ликвидации последстви</w:t>
      </w:r>
      <w:r>
        <w:rPr>
          <w:rFonts w:ascii="TimesNewRomanPSMT" w:hAnsi="TimesNewRomanPSMT" w:cs="TimesNewRomanPSMT"/>
          <w:sz w:val="28"/>
          <w:szCs w:val="28"/>
        </w:rPr>
        <w:t>й причинения такого вреда не выявлено.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Информация о вступившем в законную силу в течение 5 предшествующих календарных лет обвинительного приговора суда с назначением наказания работнику контролируемого лица (или решения (постановления) о назначении админис</w:t>
      </w:r>
      <w:r>
        <w:rPr>
          <w:rFonts w:ascii="TimesNewRomanPSMT" w:hAnsi="TimesNewRomanPSMT" w:cs="TimesNewRomanPSMT"/>
          <w:sz w:val="28"/>
          <w:szCs w:val="28"/>
        </w:rPr>
        <w:t>тративного наказания контролируемому лицу или работнику контролируемого лица) за нарушение обязательных требований также отсутствует.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В соответствии с пунктом 20 Положения о федеральном государственном контроле (надзоре) муниципальное предприятие «Новосиби</w:t>
      </w:r>
      <w:r>
        <w:rPr>
          <w:rFonts w:ascii="TimesNewRomanPSMT" w:hAnsi="TimesNewRomanPSMT" w:cs="TimesNewRomanPSMT"/>
          <w:sz w:val="28"/>
          <w:szCs w:val="28"/>
        </w:rPr>
        <w:t>рский метрополитен» относится к группе вероятности «3» - низкий риск.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Учитывая, что деятельность контролируемого лица относится к низкому риску и в соответствии с пунктом 22 Положения о федеральном государственном контроле (надзоре) в отношении муниципальн</w:t>
      </w:r>
      <w:r>
        <w:rPr>
          <w:rFonts w:ascii="TimesNewRomanPSMT" w:hAnsi="TimesNewRomanPSMT" w:cs="TimesNewRomanPSMT"/>
          <w:sz w:val="28"/>
          <w:szCs w:val="28"/>
        </w:rPr>
        <w:t>ого унитарного предприятия «Новосибирский метрополитен», отнесенного к категории низкого риска причинения вреда (ущерба), плановые контрольные (надзорные) мероприятия не проводятся.</w:t>
      </w:r>
    </w:p>
    <w:p w:rsidR="00B31455" w:rsidRDefault="00B31455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B31455" w:rsidRDefault="00A16469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  <w:lang w:val="en-US"/>
        </w:rPr>
        <w:t>III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.</w:t>
      </w:r>
      <w:r>
        <w:rPr>
          <w:rFonts w:ascii="TimesNewRomanPS-BoldMT" w:hAnsi="TimesNewRomanPS-BoldMT" w:cs="TimesNewRomanPS-BoldMT"/>
          <w:b/>
          <w:bCs/>
          <w:sz w:val="28"/>
          <w:szCs w:val="28"/>
          <w:lang w:val="en-US"/>
        </w:rPr>
        <w:t> 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Цели и задачи реализации Программы профилактики</w:t>
      </w:r>
    </w:p>
    <w:p w:rsidR="00B31455" w:rsidRDefault="00B31455">
      <w:pPr>
        <w:spacing w:after="0" w:line="240" w:lineRule="auto"/>
        <w:ind w:left="2268"/>
        <w:jc w:val="both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Целями реализации П</w:t>
      </w:r>
      <w:r>
        <w:rPr>
          <w:rFonts w:ascii="TimesNewRomanPSMT" w:hAnsi="TimesNewRomanPSMT" w:cs="TimesNewRomanPSMT"/>
          <w:sz w:val="28"/>
          <w:szCs w:val="28"/>
        </w:rPr>
        <w:t>рограммы профилактики является повышение уровня информированности контролируемых лиц по вопросам соблюдения обязательных требований, повышение их правовой грамотности, формирование ответственного отношения к обеспечению соблюдения обязательных требований и</w:t>
      </w:r>
      <w:r>
        <w:rPr>
          <w:rFonts w:ascii="TimesNewRomanPSMT" w:hAnsi="TimesNewRomanPSMT" w:cs="TimesNewRomanPSMT"/>
          <w:sz w:val="28"/>
          <w:szCs w:val="28"/>
        </w:rPr>
        <w:t xml:space="preserve"> выработка внутренней мотивации к позитивному правовому поведению, в том числе: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предупреждение нарушений контролируемым лицом обязательных требований (снижение числа нарушений обязательных требований);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2)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предотвращение причинения вреда либо угрозы прич</w:t>
      </w:r>
      <w:r>
        <w:rPr>
          <w:rFonts w:ascii="TimesNewRomanPSMT" w:hAnsi="TimesNewRomanPSMT" w:cs="TimesNewRomanPSMT"/>
          <w:sz w:val="28"/>
          <w:szCs w:val="28"/>
        </w:rPr>
        <w:t>инения вреда охраняемым законом ценностям вследствие нарушений обязательных требований;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3)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повышение прозрачности деятельности министерства при осуществлении федерального государственного контроля (надзора);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4)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формирование моделей социально-ответственного, добросовестного, правового поведения контролируемых лиц;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5)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создание инфраструктуры профилактики рисков причинения вреда охраняемым законом ценностям.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Для достижения поставленных целей Программы профилактики н</w:t>
      </w:r>
      <w:r>
        <w:rPr>
          <w:rFonts w:ascii="TimesNewRomanPSMT" w:hAnsi="TimesNewRomanPSMT" w:cs="TimesNewRomanPSMT"/>
          <w:sz w:val="28"/>
          <w:szCs w:val="28"/>
        </w:rPr>
        <w:t>еобходимо решение следующих задач: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lastRenderedPageBreak/>
        <w:t>1)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 xml:space="preserve">выявление причин, факторов и условий, способствующих возможному нарушению обязательных требований; 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2)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 xml:space="preserve">устранение причин, факторов и условий, способствующих возможному нарушению обязательных требований; 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3)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повышение у</w:t>
      </w:r>
      <w:r>
        <w:rPr>
          <w:rFonts w:ascii="TimesNewRomanPSMT" w:hAnsi="TimesNewRomanPSMT" w:cs="TimesNewRomanPSMT"/>
          <w:sz w:val="28"/>
          <w:szCs w:val="28"/>
        </w:rPr>
        <w:t xml:space="preserve">ровня правовой грамотности контролируемых лиц; 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4)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формирование единого понимания обязательных требований у всех участников отношений в области федерального государственного контроля (надзора), в том числе путем разъяснения контролируемому лицу обязательны</w:t>
      </w:r>
      <w:r>
        <w:rPr>
          <w:rFonts w:ascii="TimesNewRomanPSMT" w:hAnsi="TimesNewRomanPSMT" w:cs="TimesNewRomanPSMT"/>
          <w:sz w:val="28"/>
          <w:szCs w:val="28"/>
        </w:rPr>
        <w:t>х требований;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5)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мотивация контрольного лица к добросовестному поведению и, как следствие, снижение вреда, причиняемого охраняемым законом ценностям;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6)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оценка состояния подконтрольной среды и особенностей контролируемого лица;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7)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проведение профилактических мероприятий с учетом данных состояния подконтрольной среды и особенностей контролируемого лица;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8)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сбор и анализ статистических данных, необходимых для организации профилактической работы, в том числе для определения видов, форм</w:t>
      </w:r>
      <w:r>
        <w:rPr>
          <w:rFonts w:ascii="TimesNewRomanPSMT" w:hAnsi="TimesNewRomanPSMT" w:cs="TimesNewRomanPSMT"/>
          <w:sz w:val="28"/>
          <w:szCs w:val="28"/>
        </w:rPr>
        <w:t xml:space="preserve"> и интенсивности профилактических мероприятий;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9)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повышение квалификации сотрудников министерства, уполномоченных на осуществление федерального государственного контроля (надзора);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10)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создание системы взаимодействия между контролируемым лицом и министерст</w:t>
      </w:r>
      <w:r>
        <w:rPr>
          <w:rFonts w:ascii="TimesNewRomanPSMT" w:hAnsi="TimesNewRomanPSMT" w:cs="TimesNewRomanPSMT"/>
          <w:sz w:val="28"/>
          <w:szCs w:val="28"/>
        </w:rPr>
        <w:t>вом, обеспечивающей наиболее полное информирование контролируемого лица по вопросам соблюдения обязательных требований и проводимой министерством профилактической работы, в том числе с использованием современных информационно-телекоммуникационных технологи</w:t>
      </w:r>
      <w:r>
        <w:rPr>
          <w:rFonts w:ascii="TimesNewRomanPSMT" w:hAnsi="TimesNewRomanPSMT" w:cs="TimesNewRomanPSMT"/>
          <w:sz w:val="28"/>
          <w:szCs w:val="28"/>
        </w:rPr>
        <w:t xml:space="preserve">й (внедрение интерактивных сервисов); 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11)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автоматизация системы профилактики.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Ожидаемые конечные результаты реализации программы: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снижение рисков причинения вреда охраняемым законом ценностям;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развитие системы профилактических мероприятий;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внедрение</w:t>
      </w:r>
      <w:r>
        <w:rPr>
          <w:rFonts w:ascii="TimesNewRomanPSMT" w:hAnsi="TimesNewRomanPSMT" w:cs="TimesNewRomanPSMT"/>
          <w:sz w:val="28"/>
          <w:szCs w:val="28"/>
        </w:rPr>
        <w:t xml:space="preserve"> различных способов профилактики;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разработка и внедрение технологий профилактической работы;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>
        <w:rPr>
          <w:rFonts w:ascii="TimesNewRomanPSMT" w:hAnsi="TimesNewRomanPSMT" w:cs="TimesNewRomanPSMT"/>
          <w:sz w:val="28"/>
          <w:szCs w:val="28"/>
        </w:rPr>
        <w:t>разработка образцов эффективного, законопослушного поведения контрольного лица;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обеспечение квалифицированной профилактической работы;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повышение прозрачнос</w:t>
      </w:r>
      <w:r>
        <w:rPr>
          <w:rFonts w:ascii="TimesNewRomanPSMT" w:hAnsi="TimesNewRomanPSMT" w:cs="TimesNewRomanPSMT"/>
          <w:sz w:val="28"/>
          <w:szCs w:val="28"/>
        </w:rPr>
        <w:t>ти контрольно-надзорной деятельности;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уменьшение административной нагрузки на контролируемое лицо;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повышение уровня правовой грамотности контролируемого лица;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обеспечение единообразия понимания предмета контроля контролируемого лица;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мотивация конт</w:t>
      </w:r>
      <w:r>
        <w:rPr>
          <w:rFonts w:ascii="TimesNewRomanPSMT" w:hAnsi="TimesNewRomanPSMT" w:cs="TimesNewRomanPSMT"/>
          <w:sz w:val="28"/>
          <w:szCs w:val="28"/>
        </w:rPr>
        <w:t>ролируемого лица к добросовестному поведению.</w:t>
      </w:r>
    </w:p>
    <w:p w:rsidR="00B31455" w:rsidRDefault="00B31455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jc w:val="center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jc w:val="center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jc w:val="center"/>
        <w:rPr>
          <w:rFonts w:ascii="TimesNewRomanPSMT" w:hAnsi="TimesNewRomanPSMT" w:cs="TimesNewRomanPSMT"/>
          <w:sz w:val="28"/>
          <w:szCs w:val="28"/>
        </w:rPr>
      </w:pPr>
    </w:p>
    <w:p w:rsidR="00B31455" w:rsidRDefault="00A16469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lastRenderedPageBreak/>
        <w:t xml:space="preserve">IV. Перечень профилактических мероприятий, </w:t>
      </w:r>
    </w:p>
    <w:p w:rsidR="00B31455" w:rsidRDefault="00A16469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сроки(периодичность) их проведения</w:t>
      </w:r>
    </w:p>
    <w:p w:rsidR="00B31455" w:rsidRDefault="00B31455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В соответствии с Положением о федеральном государственном контроле (надзоре), при осуществлении федерального государственного </w:t>
      </w:r>
      <w:r>
        <w:rPr>
          <w:rFonts w:ascii="TimesNewRomanPSMT" w:hAnsi="TimesNewRomanPSMT" w:cs="TimesNewRomanPSMT"/>
          <w:sz w:val="28"/>
          <w:szCs w:val="28"/>
        </w:rPr>
        <w:t>контроля (надзора) проводятся следующие профилактические мероприятия: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а) информирование;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б) обобщение правоприменительной практики;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в) объявление предостережения;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г) консультирование;</w:t>
      </w:r>
    </w:p>
    <w:p w:rsidR="00B31455" w:rsidRDefault="00A16469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д) обязательный профилактический визит.</w:t>
      </w:r>
    </w:p>
    <w:p w:rsidR="00B31455" w:rsidRDefault="00B31455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tbl>
      <w:tblPr>
        <w:tblStyle w:val="af5"/>
        <w:tblW w:w="9914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4681"/>
        <w:gridCol w:w="2403"/>
      </w:tblGrid>
      <w:tr w:rsidR="00B31455" w:rsidTr="00AB0899">
        <w:tc>
          <w:tcPr>
            <w:tcW w:w="562" w:type="dxa"/>
          </w:tcPr>
          <w:p w:rsidR="00AB0899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№</w:t>
            </w:r>
          </w:p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п/п</w:t>
            </w:r>
          </w:p>
        </w:tc>
        <w:tc>
          <w:tcPr>
            <w:tcW w:w="2268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Вид мероприятия</w:t>
            </w:r>
          </w:p>
        </w:tc>
        <w:tc>
          <w:tcPr>
            <w:tcW w:w="4681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Форма мероприятия</w:t>
            </w:r>
          </w:p>
        </w:tc>
        <w:tc>
          <w:tcPr>
            <w:tcW w:w="2403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Срок (периодичность) проведения</w:t>
            </w:r>
          </w:p>
        </w:tc>
      </w:tr>
      <w:tr w:rsidR="00B31455" w:rsidTr="00AB0899">
        <w:tc>
          <w:tcPr>
            <w:tcW w:w="562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Информирование</w:t>
            </w:r>
          </w:p>
        </w:tc>
        <w:tc>
          <w:tcPr>
            <w:tcW w:w="4681" w:type="dxa"/>
          </w:tcPr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Размещение на официальном сайте министерства перечней нормативных правовых актов или их отдельных частей (положений), содержащих обязательные требования, оценка соблюдения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которых является предметом федерального государственного контроля, а также: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1) текстов нормативных правовых актов, регулирующих осуществление государственного контроля;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2) сведений об изменениях, внесенных в нормативные правовые акты, регулирующие осуществ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ление государственного контроля, о сроках и порядке их вступления в силу;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3) перечня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4) утвержденных проверочных листов в формате, допускающем их использование для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самообследования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>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5) руководств по соблюдению обязательны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х требований;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6) перечня индикаторов риска нарушения обязательных требований, порядок отнесения объектов контроля к категориям риска;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7) перечня объектов контроля, учитываемых в рамках формирования ежегодного плана контрольных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(надзорных) мероприятий, с ук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азанием категории риска;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8) программы профилактики рисков причинения вреда и план проведения плановых контрольных (надзорных) мероприятий;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9) исчерпывающего перечня сведений, которые могут запрашиваться министерством у контролируемого лица;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10) сведений о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способах получения консультаций по вопросам соблюдения обязательных требований;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11) сведений о применении министерством мер стимулирования добросовестности контролируемых лиц;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12) сведений о порядке досудебного обжалования решений министерством, действий (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бездействия) его должностных лиц;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13) докладов, содержащих результаты обобщения правоприменительной практики министерства;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14) докладов о государственном контроле;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15) информации о способах и процедуре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самообследования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(при ее наличии), в том числе методич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еские рекомендации по проведению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самообследования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и подготовке декларации соблюдения обязательных требований,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иинформацию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о декларациях соблюдения обязательных требований, представленных контролируемыми лицами</w:t>
            </w:r>
          </w:p>
        </w:tc>
        <w:tc>
          <w:tcPr>
            <w:tcW w:w="2403" w:type="dxa"/>
          </w:tcPr>
          <w:p w:rsidR="00B31455" w:rsidRDefault="00A16469">
            <w:pPr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В течение года</w:t>
            </w:r>
          </w:p>
        </w:tc>
      </w:tr>
      <w:tr w:rsidR="00B31455" w:rsidTr="00AB0899">
        <w:tc>
          <w:tcPr>
            <w:tcW w:w="562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Обобщение и анализ право-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при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менительной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практики за 2023 год</w:t>
            </w:r>
          </w:p>
        </w:tc>
        <w:tc>
          <w:tcPr>
            <w:tcW w:w="4681" w:type="dxa"/>
          </w:tcPr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 Утверждение приказом министерства доклада о правоприменительной практике.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2. Размещение доклада о правоприменительной практике на официальном сайте министерства в информационно-телекоммуникационной сети «Интернет»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в срок до 3 рабочих дней со дня утверждения доклада.</w:t>
            </w:r>
          </w:p>
        </w:tc>
        <w:tc>
          <w:tcPr>
            <w:tcW w:w="2403" w:type="dxa"/>
          </w:tcPr>
          <w:p w:rsidR="00B31455" w:rsidRDefault="00A16469">
            <w:pPr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не позднее 30 августа 2024 года</w:t>
            </w:r>
          </w:p>
        </w:tc>
      </w:tr>
      <w:tr w:rsidR="00B31455" w:rsidTr="00AB0899">
        <w:tc>
          <w:tcPr>
            <w:tcW w:w="562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Объявление предостережения</w:t>
            </w:r>
          </w:p>
        </w:tc>
        <w:tc>
          <w:tcPr>
            <w:tcW w:w="4681" w:type="dxa"/>
          </w:tcPr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Направление предостережений в письменном виде контролируемому лицу</w:t>
            </w:r>
          </w:p>
        </w:tc>
        <w:tc>
          <w:tcPr>
            <w:tcW w:w="2403" w:type="dxa"/>
          </w:tcPr>
          <w:p w:rsidR="00B31455" w:rsidRDefault="00A16469">
            <w:pPr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При наличии поступивших сведений о готовящихся нарушениях обязательных тр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ебований или признаках нарушений обязательных требований</w:t>
            </w:r>
          </w:p>
        </w:tc>
      </w:tr>
      <w:tr w:rsidR="00B31455" w:rsidTr="00AB0899">
        <w:tc>
          <w:tcPr>
            <w:tcW w:w="562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4</w:t>
            </w:r>
          </w:p>
        </w:tc>
        <w:tc>
          <w:tcPr>
            <w:tcW w:w="2268" w:type="dxa"/>
          </w:tcPr>
          <w:p w:rsidR="00B31455" w:rsidRDefault="00A16469" w:rsidP="00AB0899">
            <w:pPr>
              <w:ind w:right="-112"/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Консультирование</w:t>
            </w:r>
          </w:p>
        </w:tc>
        <w:tc>
          <w:tcPr>
            <w:tcW w:w="4681" w:type="dxa"/>
          </w:tcPr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 Консультации по телефону, на личном приеме, по вопросам: наличие и содержание обязательных требований; периодичность и порядок проведения контрольных (надзорных) мероприятий; в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ыполнения предписания, выданного по итогам контрольного мероприятия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2. Консультации в письменной форме по вопросу выполнения предписаний, выданных по итогам контрольного мероприятия</w:t>
            </w:r>
          </w:p>
        </w:tc>
        <w:tc>
          <w:tcPr>
            <w:tcW w:w="2403" w:type="dxa"/>
          </w:tcPr>
          <w:p w:rsidR="00B31455" w:rsidRDefault="00A16469">
            <w:pPr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В рамках текущей работы, в том числе при проведении контрольных (надзорных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) мероприятий</w:t>
            </w:r>
          </w:p>
        </w:tc>
      </w:tr>
      <w:tr w:rsidR="00B31455" w:rsidTr="00AB0899">
        <w:tc>
          <w:tcPr>
            <w:tcW w:w="562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B31455" w:rsidRDefault="00A16469" w:rsidP="00AB0899">
            <w:pPr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Профилактический визит</w:t>
            </w:r>
          </w:p>
        </w:tc>
        <w:tc>
          <w:tcPr>
            <w:tcW w:w="4681" w:type="dxa"/>
          </w:tcPr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Проведение профилактических визитов в форме: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1) профилактических бесед по месту осуществления деятельности министерства;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2) профилактических бесед путем использования видео-конференц-связи, по вопросам: 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предъявляемых обязательных требований;</w:t>
            </w:r>
          </w:p>
          <w:p w:rsidR="00B31455" w:rsidRDefault="00A16469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рекомендуемых способах снижения категории риска: о видах, содержании, интенсивности контрольных (надзорных) мероприятий.</w:t>
            </w:r>
          </w:p>
        </w:tc>
        <w:tc>
          <w:tcPr>
            <w:tcW w:w="2403" w:type="dxa"/>
          </w:tcPr>
          <w:p w:rsidR="00B31455" w:rsidRDefault="00A16469">
            <w:pPr>
              <w:rPr>
                <w:rFonts w:ascii="TimesNewRomanPSMT" w:hAnsi="TimesNewRomanPSMT" w:cs="TimesNewRomanPSMT"/>
                <w:sz w:val="24"/>
                <w:szCs w:val="24"/>
                <w:highlight w:val="yellow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Проводится в сроки, установленные приложением к программе профилактики</w:t>
            </w:r>
          </w:p>
        </w:tc>
      </w:tr>
    </w:tbl>
    <w:p w:rsidR="00B31455" w:rsidRDefault="00B31455">
      <w:pPr>
        <w:spacing w:after="0" w:line="240" w:lineRule="auto"/>
        <w:jc w:val="center"/>
        <w:rPr>
          <w:rFonts w:ascii="TimesNewRomanPS-BoldMT" w:hAnsi="TimesNewRomanPS-BoldMT" w:cs="TimesNewRomanPS-BoldMT"/>
          <w:bCs/>
          <w:sz w:val="28"/>
          <w:szCs w:val="28"/>
        </w:rPr>
      </w:pPr>
    </w:p>
    <w:p w:rsidR="00B31455" w:rsidRDefault="00A1646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V. Показатели результат</w:t>
      </w:r>
      <w:r>
        <w:rPr>
          <w:rFonts w:ascii="Times New Roman" w:hAnsi="Times New Roman" w:cs="Times New Roman"/>
          <w:b/>
          <w:bCs/>
          <w:sz w:val="28"/>
          <w:szCs w:val="28"/>
        </w:rPr>
        <w:t>ивности и эффективности Программы профилактики</w:t>
      </w:r>
    </w:p>
    <w:p w:rsidR="00B31455" w:rsidRDefault="00B3145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31455" w:rsidRDefault="00A164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оценки результативности Программы профилактики используются следующие количественные показатели и показатели качества:</w:t>
      </w:r>
    </w:p>
    <w:p w:rsidR="00B31455" w:rsidRDefault="00A164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количество проведенных профилактических мероприятий (целевой </w:t>
      </w:r>
      <w:r>
        <w:rPr>
          <w:rFonts w:ascii="Times New Roman" w:hAnsi="Times New Roman" w:cs="Times New Roman"/>
          <w:sz w:val="28"/>
          <w:szCs w:val="28"/>
        </w:rPr>
        <w:t>показатель - 100%);</w:t>
      </w:r>
    </w:p>
    <w:p w:rsidR="00B31455" w:rsidRDefault="00A164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контролируемых лиц, в отношении которых проведены профилактические мероприятия (целевой показатель - 100%);</w:t>
      </w:r>
    </w:p>
    <w:p w:rsidR="00B31455" w:rsidRDefault="00A164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информированность подконтрольных субъектов о содержании обязательных требований (целевой показатель - 100%);</w:t>
      </w:r>
    </w:p>
    <w:p w:rsidR="00B31455" w:rsidRDefault="00A164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инфо</w:t>
      </w:r>
      <w:r>
        <w:rPr>
          <w:rFonts w:ascii="Times New Roman" w:hAnsi="Times New Roman" w:cs="Times New Roman"/>
          <w:sz w:val="28"/>
          <w:szCs w:val="28"/>
        </w:rPr>
        <w:t>рмированность контрольных лиц о порядке осуществления федерального государственного контроля (надзора), правах контролируемых лиц при проведении контрольных мероприятий (целевой показатель – 100%).</w:t>
      </w:r>
    </w:p>
    <w:p w:rsidR="00AB0899" w:rsidRDefault="00AB0899">
      <w:pPr>
        <w:spacing w:after="0" w:line="240" w:lineRule="auto"/>
        <w:ind w:firstLine="709"/>
        <w:jc w:val="right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ind w:firstLine="709"/>
        <w:jc w:val="right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ind w:firstLine="709"/>
        <w:jc w:val="right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ind w:firstLine="709"/>
        <w:jc w:val="right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ind w:firstLine="709"/>
        <w:jc w:val="right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ind w:firstLine="709"/>
        <w:jc w:val="right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ind w:firstLine="709"/>
        <w:jc w:val="right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ind w:firstLine="709"/>
        <w:jc w:val="right"/>
        <w:rPr>
          <w:rFonts w:ascii="TimesNewRomanPSMT" w:hAnsi="TimesNewRomanPSMT" w:cs="TimesNewRomanPSMT"/>
          <w:sz w:val="28"/>
          <w:szCs w:val="28"/>
        </w:rPr>
      </w:pPr>
    </w:p>
    <w:p w:rsidR="00AB0899" w:rsidRDefault="00AB0899">
      <w:pPr>
        <w:spacing w:after="0" w:line="240" w:lineRule="auto"/>
        <w:ind w:firstLine="709"/>
        <w:jc w:val="right"/>
        <w:rPr>
          <w:rFonts w:ascii="TimesNewRomanPSMT" w:hAnsi="TimesNewRomanPSMT" w:cs="TimesNewRomanPSMT"/>
          <w:sz w:val="28"/>
          <w:szCs w:val="28"/>
        </w:rPr>
      </w:pPr>
    </w:p>
    <w:p w:rsidR="00B31455" w:rsidRDefault="00A1646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Приложение:</w:t>
      </w:r>
    </w:p>
    <w:p w:rsidR="00B31455" w:rsidRDefault="00B31455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AB0899" w:rsidRDefault="00A1646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Профилактический визит, запланированный к проведению в 2024 году, </w:t>
      </w:r>
    </w:p>
    <w:p w:rsidR="00B31455" w:rsidRDefault="00A16469" w:rsidP="00AB089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 11(4) постановления Правительства Р</w:t>
      </w:r>
      <w:r w:rsidR="00AB0899">
        <w:rPr>
          <w:rFonts w:ascii="Times New Roman" w:hAnsi="Times New Roman" w:cs="Times New Roman"/>
          <w:sz w:val="28"/>
          <w:szCs w:val="28"/>
        </w:rPr>
        <w:t xml:space="preserve">оссийской Федерации </w:t>
      </w:r>
      <w:r>
        <w:rPr>
          <w:rFonts w:ascii="Times New Roman" w:hAnsi="Times New Roman" w:cs="Times New Roman"/>
          <w:sz w:val="28"/>
          <w:szCs w:val="28"/>
        </w:rPr>
        <w:t xml:space="preserve">от 10.03.2022 </w:t>
      </w:r>
      <w:r>
        <w:rPr>
          <w:rFonts w:ascii="Times New Roman" w:hAnsi="Times New Roman" w:cs="Times New Roman"/>
          <w:sz w:val="28"/>
          <w:szCs w:val="28"/>
        </w:rPr>
        <w:t>№ 336 «Об особенностях организации и ос</w:t>
      </w:r>
      <w:r>
        <w:rPr>
          <w:rFonts w:ascii="Times New Roman" w:hAnsi="Times New Roman" w:cs="Times New Roman"/>
          <w:sz w:val="28"/>
          <w:szCs w:val="28"/>
        </w:rPr>
        <w:t>уществления государственного контроля (надзора), муниципального контроля»</w:t>
      </w:r>
    </w:p>
    <w:p w:rsidR="00B31455" w:rsidRDefault="00B31455">
      <w:pPr>
        <w:spacing w:after="0" w:line="240" w:lineRule="auto"/>
        <w:ind w:firstLine="709"/>
        <w:jc w:val="center"/>
        <w:rPr>
          <w:rFonts w:ascii="TimesNewRomanPSMT" w:hAnsi="TimesNewRomanPSMT" w:cs="TimesNewRomanPSMT"/>
          <w:sz w:val="28"/>
          <w:szCs w:val="28"/>
        </w:rPr>
      </w:pPr>
    </w:p>
    <w:tbl>
      <w:tblPr>
        <w:tblStyle w:val="af5"/>
        <w:tblW w:w="10630" w:type="dxa"/>
        <w:tblInd w:w="-568" w:type="dxa"/>
        <w:tblLayout w:type="fixed"/>
        <w:tblLook w:val="04A0" w:firstRow="1" w:lastRow="0" w:firstColumn="1" w:lastColumn="0" w:noHBand="0" w:noVBand="1"/>
      </w:tblPr>
      <w:tblGrid>
        <w:gridCol w:w="425"/>
        <w:gridCol w:w="993"/>
        <w:gridCol w:w="1276"/>
        <w:gridCol w:w="1276"/>
        <w:gridCol w:w="1134"/>
        <w:gridCol w:w="1271"/>
        <w:gridCol w:w="1418"/>
        <w:gridCol w:w="1701"/>
        <w:gridCol w:w="1136"/>
      </w:tblGrid>
      <w:tr w:rsidR="00B31455" w:rsidTr="00AB0899">
        <w:tc>
          <w:tcPr>
            <w:tcW w:w="425" w:type="dxa"/>
            <w:vMerge w:val="restart"/>
          </w:tcPr>
          <w:p w:rsidR="00B31455" w:rsidRPr="00AB0899" w:rsidRDefault="00A16469" w:rsidP="00AB089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545" w:type="dxa"/>
            <w:gridSpan w:val="3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Сведения о контролируемом лице</w:t>
            </w:r>
          </w:p>
        </w:tc>
        <w:tc>
          <w:tcPr>
            <w:tcW w:w="3823" w:type="dxa"/>
            <w:gridSpan w:val="3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Сведения об объекте контроля</w:t>
            </w:r>
          </w:p>
        </w:tc>
        <w:tc>
          <w:tcPr>
            <w:tcW w:w="2837" w:type="dxa"/>
            <w:gridSpan w:val="2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Сведения о согласованном с контролируемом лицом профилактическом визите</w:t>
            </w:r>
          </w:p>
        </w:tc>
      </w:tr>
      <w:tr w:rsidR="00B31455" w:rsidTr="00AB0899">
        <w:trPr>
          <w:trHeight w:val="1264"/>
        </w:trPr>
        <w:tc>
          <w:tcPr>
            <w:tcW w:w="425" w:type="dxa"/>
            <w:vMerge/>
          </w:tcPr>
          <w:p w:rsidR="00B31455" w:rsidRPr="00AB0899" w:rsidRDefault="00B31455"/>
        </w:tc>
        <w:tc>
          <w:tcPr>
            <w:tcW w:w="993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Наименование контролируемого лица</w:t>
            </w:r>
          </w:p>
        </w:tc>
        <w:tc>
          <w:tcPr>
            <w:tcW w:w="1276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Основной государственный номер (ОГРН)</w:t>
            </w:r>
          </w:p>
        </w:tc>
        <w:tc>
          <w:tcPr>
            <w:tcW w:w="1276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Идентификационный номер налогоплательщика (ИНН)</w:t>
            </w:r>
          </w:p>
        </w:tc>
        <w:tc>
          <w:tcPr>
            <w:tcW w:w="1134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Наименование объекта контроля</w:t>
            </w:r>
          </w:p>
        </w:tc>
        <w:tc>
          <w:tcPr>
            <w:tcW w:w="1271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Адрес места нахождения объекта контроля</w:t>
            </w:r>
          </w:p>
        </w:tc>
        <w:tc>
          <w:tcPr>
            <w:tcW w:w="1418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Категория риска, присвоенная объекту контроля</w:t>
            </w:r>
          </w:p>
        </w:tc>
        <w:tc>
          <w:tcPr>
            <w:tcW w:w="1701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Дата проведения профилактического визита</w:t>
            </w:r>
          </w:p>
        </w:tc>
        <w:tc>
          <w:tcPr>
            <w:tcW w:w="1136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Срок проведен</w:t>
            </w:r>
            <w:r w:rsidRPr="00AB0899">
              <w:rPr>
                <w:rFonts w:ascii="Times New Roman" w:hAnsi="Times New Roman" w:cs="Times New Roman"/>
              </w:rPr>
              <w:t>ия профилактического визита</w:t>
            </w:r>
          </w:p>
        </w:tc>
      </w:tr>
      <w:tr w:rsidR="00B31455" w:rsidTr="00AB0899">
        <w:trPr>
          <w:trHeight w:val="322"/>
        </w:trPr>
        <w:tc>
          <w:tcPr>
            <w:tcW w:w="425" w:type="dxa"/>
          </w:tcPr>
          <w:p w:rsidR="00B31455" w:rsidRPr="00AB0899" w:rsidRDefault="00B3145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B31455" w:rsidRPr="00AB0899" w:rsidRDefault="00A16469" w:rsidP="00AB0899">
            <w:pPr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МУП г.</w:t>
            </w:r>
            <w:r w:rsidR="00AB0899">
              <w:rPr>
                <w:rFonts w:ascii="Times New Roman" w:hAnsi="Times New Roman" w:cs="Times New Roman"/>
              </w:rPr>
              <w:t> </w:t>
            </w:r>
            <w:r w:rsidRPr="00AB0899">
              <w:rPr>
                <w:rFonts w:ascii="Times New Roman" w:hAnsi="Times New Roman" w:cs="Times New Roman"/>
              </w:rPr>
              <w:t>Новосибирска «Новосибирский метрополитен»</w:t>
            </w:r>
          </w:p>
        </w:tc>
        <w:tc>
          <w:tcPr>
            <w:tcW w:w="1276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1</w:t>
            </w:r>
            <w:r w:rsidRPr="00AB0899">
              <w:rPr>
                <w:rFonts w:ascii="Times New Roman" w:hAnsi="Times New Roman" w:cs="Times New Roman"/>
              </w:rPr>
              <w:t>025402477748</w:t>
            </w:r>
          </w:p>
        </w:tc>
        <w:tc>
          <w:tcPr>
            <w:tcW w:w="1276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5411100064</w:t>
            </w:r>
          </w:p>
        </w:tc>
        <w:tc>
          <w:tcPr>
            <w:tcW w:w="1134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 w:rsidRPr="00AB0899">
              <w:rPr>
                <w:rFonts w:ascii="Times New Roman" w:hAnsi="Times New Roman" w:cs="Times New Roman"/>
                <w:highlight w:val="white"/>
              </w:rPr>
              <w:t>МУП г. Новосибирска «Новосибирский метроп</w:t>
            </w:r>
            <w:r w:rsidRPr="00AB0899">
              <w:rPr>
                <w:rFonts w:ascii="Times New Roman" w:hAnsi="Times New Roman" w:cs="Times New Roman"/>
                <w:highlight w:val="white"/>
              </w:rPr>
              <w:t>олитен</w:t>
            </w:r>
          </w:p>
        </w:tc>
        <w:tc>
          <w:tcPr>
            <w:tcW w:w="1271" w:type="dxa"/>
          </w:tcPr>
          <w:p w:rsidR="00B31455" w:rsidRPr="00AB0899" w:rsidRDefault="00AB08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Город Новосибирск, ул. </w:t>
            </w:r>
            <w:bookmarkStart w:id="0" w:name="_GoBack"/>
            <w:bookmarkEnd w:id="0"/>
            <w:proofErr w:type="spellStart"/>
            <w:r w:rsidR="00A16469" w:rsidRPr="00AB0899">
              <w:rPr>
                <w:rFonts w:ascii="Times New Roman" w:hAnsi="Times New Roman" w:cs="Times New Roman"/>
              </w:rPr>
              <w:t>Серебренниковская</w:t>
            </w:r>
            <w:proofErr w:type="spellEnd"/>
            <w:r w:rsidR="00A16469" w:rsidRPr="00AB0899">
              <w:rPr>
                <w:rFonts w:ascii="Times New Roman" w:hAnsi="Times New Roman" w:cs="Times New Roman"/>
              </w:rPr>
              <w:t>, 37</w:t>
            </w:r>
          </w:p>
        </w:tc>
        <w:tc>
          <w:tcPr>
            <w:tcW w:w="1418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Низкая</w:t>
            </w:r>
          </w:p>
        </w:tc>
        <w:tc>
          <w:tcPr>
            <w:tcW w:w="1701" w:type="dxa"/>
          </w:tcPr>
          <w:p w:rsidR="00B31455" w:rsidRPr="00AB0899" w:rsidRDefault="00AB0899" w:rsidP="00AB089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IV квартал 2024</w:t>
            </w:r>
          </w:p>
        </w:tc>
        <w:tc>
          <w:tcPr>
            <w:tcW w:w="1136" w:type="dxa"/>
          </w:tcPr>
          <w:p w:rsidR="00B31455" w:rsidRPr="00AB0899" w:rsidRDefault="00A16469">
            <w:pPr>
              <w:jc w:val="center"/>
              <w:rPr>
                <w:rFonts w:ascii="Times New Roman" w:hAnsi="Times New Roman" w:cs="Times New Roman"/>
              </w:rPr>
            </w:pPr>
            <w:r w:rsidRPr="00AB0899">
              <w:rPr>
                <w:rFonts w:ascii="Times New Roman" w:hAnsi="Times New Roman" w:cs="Times New Roman"/>
              </w:rPr>
              <w:t>1 день</w:t>
            </w:r>
          </w:p>
        </w:tc>
      </w:tr>
    </w:tbl>
    <w:p w:rsidR="00B31455" w:rsidRDefault="00B31455"/>
    <w:sectPr w:rsidR="00B31455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6469" w:rsidRDefault="00A16469">
      <w:pPr>
        <w:spacing w:after="0" w:line="240" w:lineRule="auto"/>
      </w:pPr>
      <w:r>
        <w:separator/>
      </w:r>
    </w:p>
  </w:endnote>
  <w:endnote w:type="continuationSeparator" w:id="0">
    <w:p w:rsidR="00A16469" w:rsidRDefault="00A164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6469" w:rsidRDefault="00A16469">
      <w:pPr>
        <w:spacing w:after="0" w:line="240" w:lineRule="auto"/>
      </w:pPr>
      <w:r>
        <w:separator/>
      </w:r>
    </w:p>
  </w:footnote>
  <w:footnote w:type="continuationSeparator" w:id="0">
    <w:p w:rsidR="00A16469" w:rsidRDefault="00A164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93216063"/>
      <w:docPartObj>
        <w:docPartGallery w:val="Page Numbers (Top of Page)"/>
        <w:docPartUnique/>
      </w:docPartObj>
    </w:sdtPr>
    <w:sdtEndPr/>
    <w:sdtContent>
      <w:p w:rsidR="00B31455" w:rsidRDefault="00A16469">
        <w:pPr>
          <w:pStyle w:val="af6"/>
          <w:jc w:val="center"/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B0899">
          <w:rPr>
            <w:rFonts w:ascii="Times New Roman" w:hAnsi="Times New Roman" w:cs="Times New Roman"/>
            <w:noProof/>
            <w:sz w:val="20"/>
            <w:szCs w:val="20"/>
          </w:rPr>
          <w:t>6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B31455" w:rsidRDefault="00B31455">
    <w:pPr>
      <w:pStyle w:val="af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006864"/>
    <w:multiLevelType w:val="hybridMultilevel"/>
    <w:tmpl w:val="0624D3B0"/>
    <w:lvl w:ilvl="0" w:tplc="900E14B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108E402">
      <w:start w:val="1"/>
      <w:numFmt w:val="lowerLetter"/>
      <w:lvlText w:val="%2."/>
      <w:lvlJc w:val="left"/>
      <w:pPr>
        <w:ind w:left="1789" w:hanging="360"/>
      </w:pPr>
    </w:lvl>
    <w:lvl w:ilvl="2" w:tplc="B65C6B86">
      <w:start w:val="1"/>
      <w:numFmt w:val="lowerRoman"/>
      <w:lvlText w:val="%3."/>
      <w:lvlJc w:val="right"/>
      <w:pPr>
        <w:ind w:left="2509" w:hanging="180"/>
      </w:pPr>
    </w:lvl>
    <w:lvl w:ilvl="3" w:tplc="715692F6">
      <w:start w:val="1"/>
      <w:numFmt w:val="decimal"/>
      <w:lvlText w:val="%4."/>
      <w:lvlJc w:val="left"/>
      <w:pPr>
        <w:ind w:left="3229" w:hanging="360"/>
      </w:pPr>
    </w:lvl>
    <w:lvl w:ilvl="4" w:tplc="75F229C8">
      <w:start w:val="1"/>
      <w:numFmt w:val="lowerLetter"/>
      <w:lvlText w:val="%5."/>
      <w:lvlJc w:val="left"/>
      <w:pPr>
        <w:ind w:left="3949" w:hanging="360"/>
      </w:pPr>
    </w:lvl>
    <w:lvl w:ilvl="5" w:tplc="5046F8BA">
      <w:start w:val="1"/>
      <w:numFmt w:val="lowerRoman"/>
      <w:lvlText w:val="%6."/>
      <w:lvlJc w:val="right"/>
      <w:pPr>
        <w:ind w:left="4669" w:hanging="180"/>
      </w:pPr>
    </w:lvl>
    <w:lvl w:ilvl="6" w:tplc="B27E275C">
      <w:start w:val="1"/>
      <w:numFmt w:val="decimal"/>
      <w:lvlText w:val="%7."/>
      <w:lvlJc w:val="left"/>
      <w:pPr>
        <w:ind w:left="5389" w:hanging="360"/>
      </w:pPr>
    </w:lvl>
    <w:lvl w:ilvl="7" w:tplc="423C72F6">
      <w:start w:val="1"/>
      <w:numFmt w:val="lowerLetter"/>
      <w:lvlText w:val="%8."/>
      <w:lvlJc w:val="left"/>
      <w:pPr>
        <w:ind w:left="6109" w:hanging="360"/>
      </w:pPr>
    </w:lvl>
    <w:lvl w:ilvl="8" w:tplc="B9F231B8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FFE0005"/>
    <w:multiLevelType w:val="hybridMultilevel"/>
    <w:tmpl w:val="B9242896"/>
    <w:lvl w:ilvl="0" w:tplc="65DE4B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3A2D4D6">
      <w:start w:val="1"/>
      <w:numFmt w:val="lowerLetter"/>
      <w:lvlText w:val="%2."/>
      <w:lvlJc w:val="left"/>
      <w:pPr>
        <w:ind w:left="1789" w:hanging="360"/>
      </w:pPr>
    </w:lvl>
    <w:lvl w:ilvl="2" w:tplc="AAE4760E">
      <w:start w:val="1"/>
      <w:numFmt w:val="lowerRoman"/>
      <w:lvlText w:val="%3."/>
      <w:lvlJc w:val="right"/>
      <w:pPr>
        <w:ind w:left="2509" w:hanging="180"/>
      </w:pPr>
    </w:lvl>
    <w:lvl w:ilvl="3" w:tplc="79CE3DA6">
      <w:start w:val="1"/>
      <w:numFmt w:val="decimal"/>
      <w:lvlText w:val="%4."/>
      <w:lvlJc w:val="left"/>
      <w:pPr>
        <w:ind w:left="3229" w:hanging="360"/>
      </w:pPr>
    </w:lvl>
    <w:lvl w:ilvl="4" w:tplc="94D2E1E2">
      <w:start w:val="1"/>
      <w:numFmt w:val="lowerLetter"/>
      <w:lvlText w:val="%5."/>
      <w:lvlJc w:val="left"/>
      <w:pPr>
        <w:ind w:left="3949" w:hanging="360"/>
      </w:pPr>
    </w:lvl>
    <w:lvl w:ilvl="5" w:tplc="2198470E">
      <w:start w:val="1"/>
      <w:numFmt w:val="lowerRoman"/>
      <w:lvlText w:val="%6."/>
      <w:lvlJc w:val="right"/>
      <w:pPr>
        <w:ind w:left="4669" w:hanging="180"/>
      </w:pPr>
    </w:lvl>
    <w:lvl w:ilvl="6" w:tplc="3880F2AC">
      <w:start w:val="1"/>
      <w:numFmt w:val="decimal"/>
      <w:lvlText w:val="%7."/>
      <w:lvlJc w:val="left"/>
      <w:pPr>
        <w:ind w:left="5389" w:hanging="360"/>
      </w:pPr>
    </w:lvl>
    <w:lvl w:ilvl="7" w:tplc="65E6C8EC">
      <w:start w:val="1"/>
      <w:numFmt w:val="lowerLetter"/>
      <w:lvlText w:val="%8."/>
      <w:lvlJc w:val="left"/>
      <w:pPr>
        <w:ind w:left="6109" w:hanging="360"/>
      </w:pPr>
    </w:lvl>
    <w:lvl w:ilvl="8" w:tplc="9DD80A7E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97078A9"/>
    <w:multiLevelType w:val="hybridMultilevel"/>
    <w:tmpl w:val="74F0B214"/>
    <w:lvl w:ilvl="0" w:tplc="1952DE02">
      <w:start w:val="1"/>
      <w:numFmt w:val="upperRoman"/>
      <w:lvlText w:val="%1."/>
      <w:lvlJc w:val="left"/>
      <w:pPr>
        <w:ind w:left="2988" w:hanging="720"/>
      </w:pPr>
      <w:rPr>
        <w:rFonts w:hint="default"/>
      </w:rPr>
    </w:lvl>
    <w:lvl w:ilvl="1" w:tplc="81CCE060">
      <w:start w:val="1"/>
      <w:numFmt w:val="lowerLetter"/>
      <w:lvlText w:val="%2."/>
      <w:lvlJc w:val="left"/>
      <w:pPr>
        <w:ind w:left="2356" w:hanging="360"/>
      </w:pPr>
    </w:lvl>
    <w:lvl w:ilvl="2" w:tplc="476667C8">
      <w:start w:val="1"/>
      <w:numFmt w:val="lowerRoman"/>
      <w:lvlText w:val="%3."/>
      <w:lvlJc w:val="right"/>
      <w:pPr>
        <w:ind w:left="3076" w:hanging="180"/>
      </w:pPr>
    </w:lvl>
    <w:lvl w:ilvl="3" w:tplc="C27CC946">
      <w:start w:val="1"/>
      <w:numFmt w:val="decimal"/>
      <w:lvlText w:val="%4."/>
      <w:lvlJc w:val="left"/>
      <w:pPr>
        <w:ind w:left="3796" w:hanging="360"/>
      </w:pPr>
    </w:lvl>
    <w:lvl w:ilvl="4" w:tplc="3744868E">
      <w:start w:val="1"/>
      <w:numFmt w:val="lowerLetter"/>
      <w:lvlText w:val="%5."/>
      <w:lvlJc w:val="left"/>
      <w:pPr>
        <w:ind w:left="4516" w:hanging="360"/>
      </w:pPr>
    </w:lvl>
    <w:lvl w:ilvl="5" w:tplc="7D64F6F0">
      <w:start w:val="1"/>
      <w:numFmt w:val="lowerRoman"/>
      <w:lvlText w:val="%6."/>
      <w:lvlJc w:val="right"/>
      <w:pPr>
        <w:ind w:left="5236" w:hanging="180"/>
      </w:pPr>
    </w:lvl>
    <w:lvl w:ilvl="6" w:tplc="E8E64FB6">
      <w:start w:val="1"/>
      <w:numFmt w:val="decimal"/>
      <w:lvlText w:val="%7."/>
      <w:lvlJc w:val="left"/>
      <w:pPr>
        <w:ind w:left="5956" w:hanging="360"/>
      </w:pPr>
    </w:lvl>
    <w:lvl w:ilvl="7" w:tplc="5C2ED7A4">
      <w:start w:val="1"/>
      <w:numFmt w:val="lowerLetter"/>
      <w:lvlText w:val="%8."/>
      <w:lvlJc w:val="left"/>
      <w:pPr>
        <w:ind w:left="6676" w:hanging="360"/>
      </w:pPr>
    </w:lvl>
    <w:lvl w:ilvl="8" w:tplc="4016EB0E">
      <w:start w:val="1"/>
      <w:numFmt w:val="lowerRoman"/>
      <w:lvlText w:val="%9."/>
      <w:lvlJc w:val="right"/>
      <w:pPr>
        <w:ind w:left="7396" w:hanging="180"/>
      </w:pPr>
    </w:lvl>
  </w:abstractNum>
  <w:abstractNum w:abstractNumId="3" w15:restartNumberingAfterBreak="0">
    <w:nsid w:val="580178EB"/>
    <w:multiLevelType w:val="hybridMultilevel"/>
    <w:tmpl w:val="28A0C946"/>
    <w:lvl w:ilvl="0" w:tplc="1AD00F8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8D768758">
      <w:start w:val="1"/>
      <w:numFmt w:val="lowerLetter"/>
      <w:lvlText w:val="%2."/>
      <w:lvlJc w:val="left"/>
      <w:pPr>
        <w:ind w:left="1789" w:hanging="360"/>
      </w:pPr>
    </w:lvl>
    <w:lvl w:ilvl="2" w:tplc="DC589CDA">
      <w:start w:val="1"/>
      <w:numFmt w:val="lowerRoman"/>
      <w:lvlText w:val="%3."/>
      <w:lvlJc w:val="right"/>
      <w:pPr>
        <w:ind w:left="2509" w:hanging="180"/>
      </w:pPr>
    </w:lvl>
    <w:lvl w:ilvl="3" w:tplc="D3669DC0">
      <w:start w:val="1"/>
      <w:numFmt w:val="decimal"/>
      <w:lvlText w:val="%4."/>
      <w:lvlJc w:val="left"/>
      <w:pPr>
        <w:ind w:left="3229" w:hanging="360"/>
      </w:pPr>
    </w:lvl>
    <w:lvl w:ilvl="4" w:tplc="437E987C">
      <w:start w:val="1"/>
      <w:numFmt w:val="lowerLetter"/>
      <w:lvlText w:val="%5."/>
      <w:lvlJc w:val="left"/>
      <w:pPr>
        <w:ind w:left="3949" w:hanging="360"/>
      </w:pPr>
    </w:lvl>
    <w:lvl w:ilvl="5" w:tplc="34BC6A8E">
      <w:start w:val="1"/>
      <w:numFmt w:val="lowerRoman"/>
      <w:lvlText w:val="%6."/>
      <w:lvlJc w:val="right"/>
      <w:pPr>
        <w:ind w:left="4669" w:hanging="180"/>
      </w:pPr>
    </w:lvl>
    <w:lvl w:ilvl="6" w:tplc="321A8E3A">
      <w:start w:val="1"/>
      <w:numFmt w:val="decimal"/>
      <w:lvlText w:val="%7."/>
      <w:lvlJc w:val="left"/>
      <w:pPr>
        <w:ind w:left="5389" w:hanging="360"/>
      </w:pPr>
    </w:lvl>
    <w:lvl w:ilvl="7" w:tplc="AD82C142">
      <w:start w:val="1"/>
      <w:numFmt w:val="lowerLetter"/>
      <w:lvlText w:val="%8."/>
      <w:lvlJc w:val="left"/>
      <w:pPr>
        <w:ind w:left="6109" w:hanging="360"/>
      </w:pPr>
    </w:lvl>
    <w:lvl w:ilvl="8" w:tplc="7BAACFC4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2AB1446"/>
    <w:multiLevelType w:val="hybridMultilevel"/>
    <w:tmpl w:val="E02CB484"/>
    <w:lvl w:ilvl="0" w:tplc="BD98E7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E6260020">
      <w:start w:val="1"/>
      <w:numFmt w:val="lowerLetter"/>
      <w:lvlText w:val="%2."/>
      <w:lvlJc w:val="left"/>
      <w:pPr>
        <w:ind w:left="1789" w:hanging="360"/>
      </w:pPr>
    </w:lvl>
    <w:lvl w:ilvl="2" w:tplc="0256FCC8">
      <w:start w:val="1"/>
      <w:numFmt w:val="lowerRoman"/>
      <w:lvlText w:val="%3."/>
      <w:lvlJc w:val="right"/>
      <w:pPr>
        <w:ind w:left="2509" w:hanging="180"/>
      </w:pPr>
    </w:lvl>
    <w:lvl w:ilvl="3" w:tplc="45125994">
      <w:start w:val="1"/>
      <w:numFmt w:val="decimal"/>
      <w:lvlText w:val="%4."/>
      <w:lvlJc w:val="left"/>
      <w:pPr>
        <w:ind w:left="3229" w:hanging="360"/>
      </w:pPr>
    </w:lvl>
    <w:lvl w:ilvl="4" w:tplc="FAAAEE0A">
      <w:start w:val="1"/>
      <w:numFmt w:val="lowerLetter"/>
      <w:lvlText w:val="%5."/>
      <w:lvlJc w:val="left"/>
      <w:pPr>
        <w:ind w:left="3949" w:hanging="360"/>
      </w:pPr>
    </w:lvl>
    <w:lvl w:ilvl="5" w:tplc="7646F77E">
      <w:start w:val="1"/>
      <w:numFmt w:val="lowerRoman"/>
      <w:lvlText w:val="%6."/>
      <w:lvlJc w:val="right"/>
      <w:pPr>
        <w:ind w:left="4669" w:hanging="180"/>
      </w:pPr>
    </w:lvl>
    <w:lvl w:ilvl="6" w:tplc="3A4CD78A">
      <w:start w:val="1"/>
      <w:numFmt w:val="decimal"/>
      <w:lvlText w:val="%7."/>
      <w:lvlJc w:val="left"/>
      <w:pPr>
        <w:ind w:left="5389" w:hanging="360"/>
      </w:pPr>
    </w:lvl>
    <w:lvl w:ilvl="7" w:tplc="87787380">
      <w:start w:val="1"/>
      <w:numFmt w:val="lowerLetter"/>
      <w:lvlText w:val="%8."/>
      <w:lvlJc w:val="left"/>
      <w:pPr>
        <w:ind w:left="6109" w:hanging="360"/>
      </w:pPr>
    </w:lvl>
    <w:lvl w:ilvl="8" w:tplc="7FEC1F14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455"/>
    <w:rsid w:val="00A16469"/>
    <w:rsid w:val="00AB0899"/>
    <w:rsid w:val="00B31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C93D0"/>
  <w15:docId w15:val="{7B7833BF-6155-4625-A150-34AF2730E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563C1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table" w:styleId="af5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2390</Words>
  <Characters>13625</Characters>
  <Application>Microsoft Office Word</Application>
  <DocSecurity>0</DocSecurity>
  <Lines>113</Lines>
  <Paragraphs>31</Paragraphs>
  <ScaleCrop>false</ScaleCrop>
  <Company>PNO</Company>
  <LinksUpToDate>false</LinksUpToDate>
  <CharactersWithSpaces>15984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Байшев Сергей Алиевич</dc:creator>
  <cp:keywords/>
  <dc:description/>
  <cp:lastModifiedBy>Кутузова Татьяна Викторовна</cp:lastModifiedBy>
  <cp:revision>11</cp:revision>
  <dcterms:created xsi:type="dcterms:W3CDTF">2022-12-23T06:29:00Z</dcterms:created>
  <dcterms:modified xsi:type="dcterms:W3CDTF">2023-12-19T08:46:00Z</dcterms:modified>
</cp:coreProperties>
</file>