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E9" w:rsidRDefault="001D0C24">
      <w:pPr>
        <w:spacing w:after="0" w:line="240" w:lineRule="auto"/>
        <w:ind w:left="5103" w:firstLine="9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УТВЕРЖДЕНА</w:t>
      </w:r>
    </w:p>
    <w:p w:rsidR="00984CE9" w:rsidRDefault="001D0C24">
      <w:pPr>
        <w:spacing w:after="0" w:line="240" w:lineRule="auto"/>
        <w:ind w:left="6520" w:hanging="21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приказом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министерства      транспорта</w:t>
      </w:r>
    </w:p>
    <w:p w:rsidR="00984CE9" w:rsidRDefault="001D0C24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и дорожного хозяйства</w:t>
      </w:r>
    </w:p>
    <w:p w:rsidR="00984CE9" w:rsidRDefault="001D0C24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Новосибирской области</w:t>
      </w:r>
    </w:p>
    <w:p w:rsidR="00984CE9" w:rsidRDefault="001D0C24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от «__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_____ № ____</w:t>
      </w:r>
    </w:p>
    <w:p w:rsidR="00984CE9" w:rsidRDefault="00984CE9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CE9" w:rsidRDefault="00984CE9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CE9" w:rsidRDefault="00984CE9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CE9" w:rsidRDefault="00984CE9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CE9" w:rsidRDefault="001D0C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984CE9" w:rsidRDefault="001D0C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Министерством транспорта и дорожного хозяйства Новосибирской области профилактики рисков причинения вреда (ущерба) охраняемым законом ценностям при осуществлении федерального государственного контроля (надзора) за соблюдением правил технической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эксплуатации внеуличного транспорта и правил пользования внеуличным транспортом на территории</w:t>
      </w:r>
    </w:p>
    <w:p w:rsidR="00984CE9" w:rsidRDefault="001D0C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 на 2025 год</w:t>
      </w:r>
    </w:p>
    <w:p w:rsidR="00984CE9" w:rsidRDefault="00984C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CE9" w:rsidRPr="00CF2CD0" w:rsidRDefault="00984CE9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CD0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проведения Министерством транспорта и дорожного хозяйства Новосибирской области (далее – Министерство) профилактики </w:t>
      </w:r>
      <w:r w:rsidRPr="00CF2CD0">
        <w:rPr>
          <w:rFonts w:ascii="Times New Roman" w:eastAsia="Times New Roman" w:hAnsi="Times New Roman" w:cs="Times New Roman"/>
          <w:sz w:val="28"/>
          <w:szCs w:val="28"/>
        </w:rPr>
        <w:t>рисков причинения вреда (ущерба) охраняемым законом ценностям при осуществлении федерального государственного контроля (надзора) за соблюдением правил технической эксплуатации внеуличного транспорта и правил пользования внеуличным транспортом на территории</w:t>
      </w:r>
      <w:r w:rsidRPr="00CF2CD0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на 2025 год (далее – программа профилактики) разработана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</w:t>
      </w:r>
      <w:r w:rsidRPr="00CF2CD0">
        <w:rPr>
          <w:rFonts w:ascii="Times New Roman" w:eastAsia="Times New Roman" w:hAnsi="Times New Roman" w:cs="Times New Roman"/>
          <w:sz w:val="28"/>
          <w:szCs w:val="28"/>
        </w:rPr>
        <w:t>ерждёнными постановлением Правительства Российской Федерации от 25.06.2021 года № 990.</w:t>
      </w:r>
    </w:p>
    <w:p w:rsidR="00984CE9" w:rsidRPr="00CF2CD0" w:rsidRDefault="00984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CE9" w:rsidRPr="00CF2CD0" w:rsidRDefault="001D0C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CD0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</w:t>
      </w:r>
      <w:r w:rsidRPr="00CF2CD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CF2CD0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</w:t>
      </w:r>
      <w:r w:rsidRPr="00CF2CD0">
        <w:rPr>
          <w:rFonts w:ascii="Times New Roman" w:eastAsia="Times New Roman" w:hAnsi="Times New Roman" w:cs="Times New Roman"/>
          <w:b/>
          <w:bCs/>
          <w:sz w:val="28"/>
          <w:szCs w:val="28"/>
        </w:rPr>
        <w:t>ка проблем, на решение которого направлена программа профилактики</w:t>
      </w:r>
    </w:p>
    <w:p w:rsidR="00984CE9" w:rsidRPr="00CF2CD0" w:rsidRDefault="00984CE9">
      <w:pPr>
        <w:spacing w:after="0" w:line="240" w:lineRule="auto"/>
        <w:ind w:left="22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На основании статьи 6 Федерального закона от 29 декабря 2017 года № 442-ФЗ «О внеуличном транспорте и о внесении изменений в отдельные законодательные акты Российской Федерации», постановления Правительства Новосибирской области от 19.10.2015 № 382-п «Об у</w:t>
      </w:r>
      <w:r w:rsidRPr="00CF2CD0">
        <w:rPr>
          <w:rFonts w:ascii="Times New Roman" w:hAnsi="Times New Roman" w:cs="Times New Roman"/>
          <w:sz w:val="28"/>
          <w:szCs w:val="28"/>
        </w:rPr>
        <w:t>тверждении Положения о министерстве транспорта и дорожного хозяйства Новосибирской области» Министерство определено исполнительным органом государственной власти Новосибирской области, уполномоченным на осуществление полномочий Российской Федерации по феде</w:t>
      </w:r>
      <w:r w:rsidRPr="00CF2CD0">
        <w:rPr>
          <w:rFonts w:ascii="Times New Roman" w:hAnsi="Times New Roman" w:cs="Times New Roman"/>
          <w:sz w:val="28"/>
          <w:szCs w:val="28"/>
        </w:rPr>
        <w:t xml:space="preserve">ральному государственному контролю (надзору) за </w:t>
      </w:r>
      <w:r w:rsidRPr="00CF2CD0">
        <w:rPr>
          <w:rFonts w:ascii="Times New Roman" w:hAnsi="Times New Roman" w:cs="Times New Roman"/>
          <w:sz w:val="28"/>
          <w:szCs w:val="28"/>
        </w:rPr>
        <w:lastRenderedPageBreak/>
        <w:t>соблюдением правил технической эксплуатации внеуличного транспорта  и правил пользования внеуличным транспортом (далее – федеральный государственный контроль (надзор)) на территории Новосибирской области.</w:t>
      </w: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Пре</w:t>
      </w:r>
      <w:r w:rsidRPr="00CF2CD0">
        <w:rPr>
          <w:rFonts w:ascii="Times New Roman" w:hAnsi="Times New Roman" w:cs="Times New Roman"/>
          <w:sz w:val="28"/>
          <w:szCs w:val="28"/>
        </w:rPr>
        <w:t>дметом федерального государственного контроля (надзора) является оценка соблюдения юридическим лицом или индивидуальным предпринимателем, осуществляющими эксплуатацию подвижного состава внеуличного транспорта и объектов инфраструктуры внеуличного транспорт</w:t>
      </w:r>
      <w:r w:rsidRPr="00CF2CD0">
        <w:rPr>
          <w:rFonts w:ascii="Times New Roman" w:hAnsi="Times New Roman" w:cs="Times New Roman"/>
          <w:sz w:val="28"/>
          <w:szCs w:val="28"/>
        </w:rPr>
        <w:t>а, обязательных требований, предусмотренных правилами технической эксплуатации внеуличного транспорта и правилами пользования внеуличным транспортом.</w:t>
      </w:r>
    </w:p>
    <w:p w:rsidR="00984CE9" w:rsidRPr="00CF2CD0" w:rsidRDefault="001D0C24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Контролируемыми лицами при осуществлении федерального государственного контроля (надзора) являются юридиче</w:t>
      </w:r>
      <w:r w:rsidRPr="00CF2CD0">
        <w:rPr>
          <w:rFonts w:ascii="Times New Roman" w:hAnsi="Times New Roman" w:cs="Times New Roman"/>
          <w:sz w:val="28"/>
          <w:szCs w:val="28"/>
        </w:rPr>
        <w:t>ские лица и индивидуальные предприниматели, осуществляющие эксплуатацию подвижного состава внеуличного транспорта и объектов инфраструктуры внеуличного транспорта на территории Новосибирской области.</w:t>
      </w: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В настоящее время указанный вид деятельности осуществляе</w:t>
      </w:r>
      <w:r w:rsidRPr="00CF2CD0">
        <w:rPr>
          <w:rFonts w:ascii="Times New Roman" w:hAnsi="Times New Roman" w:cs="Times New Roman"/>
          <w:sz w:val="28"/>
          <w:szCs w:val="28"/>
        </w:rPr>
        <w:t>т один субъект – Муниципальное унитарное предприятие города Новосибирска «Новосибирский метрополитен» (далее - МУП «Новосибирский метрополитен», контролируемое лицо).</w:t>
      </w: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Обязательные требования, оценка соблюдения которых является предметом федерального государственного контроля (надзора) установлены:</w:t>
      </w:r>
    </w:p>
    <w:p w:rsidR="00984CE9" w:rsidRPr="00CF2CD0" w:rsidRDefault="001D0C24">
      <w:pPr>
        <w:pStyle w:val="af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приказом Минтранса России от 26.10.2018 № 386 «Об утверждении Типовых правил пользования метрополитеном»;</w:t>
      </w:r>
    </w:p>
    <w:p w:rsidR="00984CE9" w:rsidRPr="00CF2CD0" w:rsidRDefault="001D0C24">
      <w:pPr>
        <w:pStyle w:val="af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приказом Минтранса</w:t>
      </w:r>
      <w:r w:rsidRPr="00CF2CD0">
        <w:rPr>
          <w:rFonts w:ascii="Times New Roman" w:hAnsi="Times New Roman" w:cs="Times New Roman"/>
          <w:sz w:val="28"/>
          <w:szCs w:val="28"/>
        </w:rPr>
        <w:t xml:space="preserve"> России от 21.12.2018 № 468 «Об утверждении Типовых правил технической эксплуатации метрополитена»;</w:t>
      </w:r>
    </w:p>
    <w:p w:rsidR="00984CE9" w:rsidRPr="00CF2CD0" w:rsidRDefault="001D0C24">
      <w:pPr>
        <w:pStyle w:val="af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от 17.09.2019 № 347-п «Об утверждении Правил пользования Новосибирским метрополитеном»;</w:t>
      </w:r>
    </w:p>
    <w:p w:rsidR="00984CE9" w:rsidRPr="00CF2CD0" w:rsidRDefault="001D0C24">
      <w:pPr>
        <w:pStyle w:val="af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постановлением Пр</w:t>
      </w:r>
      <w:r w:rsidRPr="00CF2CD0">
        <w:rPr>
          <w:rFonts w:ascii="Times New Roman" w:hAnsi="Times New Roman" w:cs="Times New Roman"/>
          <w:sz w:val="28"/>
          <w:szCs w:val="28"/>
        </w:rPr>
        <w:t>авительства Новосибирской области от 28.10.2019 № 417-п «Об утверждении Правил технической эксплуатации Новосибирского метрополитена».</w:t>
      </w:r>
    </w:p>
    <w:p w:rsidR="00984CE9" w:rsidRPr="00CF2CD0" w:rsidRDefault="001D0C24">
      <w:pPr>
        <w:spacing w:after="0" w:line="240" w:lineRule="auto"/>
        <w:ind w:left="709" w:firstLine="1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Объектами федерального государственного контроля (надзора) являются:</w:t>
      </w:r>
    </w:p>
    <w:p w:rsidR="00984CE9" w:rsidRPr="00CF2CD0" w:rsidRDefault="001D0C24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- деятельность по эксплуатации метрополитена;</w:t>
      </w:r>
    </w:p>
    <w:p w:rsidR="00984CE9" w:rsidRPr="00CF2CD0" w:rsidRDefault="001D0C24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- подв</w:t>
      </w:r>
      <w:r w:rsidRPr="00CF2CD0">
        <w:rPr>
          <w:rFonts w:ascii="Times New Roman" w:hAnsi="Times New Roman" w:cs="Times New Roman"/>
          <w:sz w:val="28"/>
          <w:szCs w:val="28"/>
        </w:rPr>
        <w:t>ижной состав метрополитена;</w:t>
      </w:r>
    </w:p>
    <w:p w:rsidR="00984CE9" w:rsidRPr="00CF2CD0" w:rsidRDefault="001D0C24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- объекты инфраструктуры метрополитена.</w:t>
      </w: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С учётом тяжести потенциальных негативных последствий возможного несоблюдения контролируемым лицом обязательных требований (группа тяжести) и оценка вероятности несоблюдения контролируемым</w:t>
      </w:r>
      <w:r w:rsidRPr="00CF2CD0">
        <w:rPr>
          <w:rFonts w:ascii="Times New Roman" w:hAnsi="Times New Roman" w:cs="Times New Roman"/>
          <w:sz w:val="28"/>
          <w:szCs w:val="28"/>
        </w:rPr>
        <w:t xml:space="preserve"> лицом обязательных требований (группа вероятности) объекты федерального государственного контроля (надзора) в соответствии с пунктом 21 Положения о федеральном государственном контроле (надзоре) за соблюдением правил технической эксплуатации внеуличного т</w:t>
      </w:r>
      <w:r w:rsidRPr="00CF2CD0">
        <w:rPr>
          <w:rFonts w:ascii="Times New Roman" w:hAnsi="Times New Roman" w:cs="Times New Roman"/>
          <w:sz w:val="28"/>
          <w:szCs w:val="28"/>
        </w:rPr>
        <w:t xml:space="preserve">ранспорта и правил пользования внеуличным транспортом, утвержденного постановлением Правительства Российской Федерации от 25.06.2021 № 1003 (далее – Положение), объекты контроля приказом Министерства от 13.12.2021 № 435 отнесены к категории низкого риска. </w:t>
      </w:r>
      <w:r w:rsidRPr="00CF2CD0">
        <w:rPr>
          <w:rFonts w:ascii="Times New Roman" w:hAnsi="Times New Roman" w:cs="Times New Roman"/>
          <w:sz w:val="28"/>
          <w:szCs w:val="28"/>
        </w:rPr>
        <w:t>Плановые контрольные (надзорные) мероприятия в отношении объектов контроля, отнесенных к категории низкого риска, не проводятся (пункт 22 Положения).</w:t>
      </w: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lastRenderedPageBreak/>
        <w:t>На официальном сайте Министерства в информационно-телекоммуникационной сети «Интернет» систематически напо</w:t>
      </w:r>
      <w:r w:rsidRPr="00CF2CD0">
        <w:rPr>
          <w:rFonts w:ascii="Times New Roman" w:hAnsi="Times New Roman" w:cs="Times New Roman"/>
          <w:sz w:val="28"/>
          <w:szCs w:val="28"/>
        </w:rPr>
        <w:t>лняется необходимой информацией раздел, посвященный федеральному государственному контролю (надзору) (https://mintrans.nso.ru/page/3190). В указанном разделе размещен перечень правовых актов, соблюдение которых оценивается при осуществлении федерального го</w:t>
      </w:r>
      <w:r w:rsidRPr="00CF2CD0">
        <w:rPr>
          <w:rFonts w:ascii="Times New Roman" w:hAnsi="Times New Roman" w:cs="Times New Roman"/>
          <w:sz w:val="28"/>
          <w:szCs w:val="28"/>
        </w:rPr>
        <w:t>сударственного контроля, тексты данных правовых актов, руководство по соблюдению обязательных требований, оценка соблюдения которых является предметом федерального государственного контроля (надзора), перечень документов, предоставление которых гражданином</w:t>
      </w:r>
      <w:r w:rsidRPr="00CF2CD0">
        <w:rPr>
          <w:rFonts w:ascii="Times New Roman" w:hAnsi="Times New Roman" w:cs="Times New Roman"/>
          <w:sz w:val="28"/>
          <w:szCs w:val="28"/>
        </w:rPr>
        <w:t>, организацией необходимо для оценки соблюдения обязательных требований, а также другая информация для контролируемых лиц.</w:t>
      </w:r>
    </w:p>
    <w:p w:rsidR="00984CE9" w:rsidRPr="00CF2CD0" w:rsidRDefault="00984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CE9" w:rsidRPr="00CF2CD0" w:rsidRDefault="001D0C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CD0">
        <w:rPr>
          <w:rFonts w:ascii="Times New Roman" w:hAnsi="Times New Roman" w:cs="Times New Roman"/>
          <w:b/>
          <w:bCs/>
          <w:sz w:val="28"/>
          <w:szCs w:val="28"/>
        </w:rPr>
        <w:t xml:space="preserve"> Раздел 2.</w:t>
      </w:r>
      <w:r w:rsidRPr="00CF2CD0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CF2CD0">
        <w:rPr>
          <w:rFonts w:ascii="Times New Roman" w:hAnsi="Times New Roman" w:cs="Times New Roman"/>
          <w:b/>
          <w:bCs/>
          <w:sz w:val="28"/>
          <w:szCs w:val="28"/>
        </w:rPr>
        <w:t>Цели и задачи реализации программы профилактики</w:t>
      </w:r>
    </w:p>
    <w:p w:rsidR="00984CE9" w:rsidRPr="00CF2CD0" w:rsidRDefault="00984CE9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Определе</w:t>
      </w:r>
      <w:r w:rsidRPr="00CF2CD0">
        <w:rPr>
          <w:rFonts w:ascii="Times New Roman" w:hAnsi="Times New Roman" w:cs="Times New Roman"/>
          <w:sz w:val="28"/>
          <w:szCs w:val="28"/>
        </w:rPr>
        <w:t>нная настоящей программой профилактики система мер направлена на повышение уровня информированности контролируемого лица по вопросам соблюдения обязательных требований, формирование ответственного отношения к обеспечению соблюдения обязательных требований.</w:t>
      </w: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 xml:space="preserve">Целями реализации программы профилактики является: </w:t>
      </w: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1)</w:t>
      </w:r>
      <w:r w:rsidRPr="00CF2C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F2CD0">
        <w:rPr>
          <w:rFonts w:ascii="Times New Roman" w:hAnsi="Times New Roman" w:cs="Times New Roman"/>
          <w:sz w:val="28"/>
          <w:szCs w:val="28"/>
        </w:rPr>
        <w:t>предупреждение нарушений контролируемым лицом обязательных требований (снижение числа нарушений обязательных требований);</w:t>
      </w: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2)</w:t>
      </w:r>
      <w:r w:rsidRPr="00CF2C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F2CD0">
        <w:rPr>
          <w:rFonts w:ascii="Times New Roman" w:hAnsi="Times New Roman" w:cs="Times New Roman"/>
          <w:sz w:val="28"/>
          <w:szCs w:val="28"/>
        </w:rPr>
        <w:t>предотвращение причинения вреда либо угрозы причинения вреда охраняемым зак</w:t>
      </w:r>
      <w:r w:rsidRPr="00CF2CD0">
        <w:rPr>
          <w:rFonts w:ascii="Times New Roman" w:hAnsi="Times New Roman" w:cs="Times New Roman"/>
          <w:sz w:val="28"/>
          <w:szCs w:val="28"/>
        </w:rPr>
        <w:t>оном ценностям вследствие нарушений обязательных требований;</w:t>
      </w: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3)</w:t>
      </w:r>
      <w:r w:rsidRPr="00CF2C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F2CD0">
        <w:rPr>
          <w:rFonts w:ascii="Times New Roman" w:hAnsi="Times New Roman" w:cs="Times New Roman"/>
          <w:sz w:val="28"/>
          <w:szCs w:val="28"/>
        </w:rPr>
        <w:t>повышение прозрачности деятельности министерства при осуществлении федерального государственного контроля (надзора);</w:t>
      </w: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4)</w:t>
      </w:r>
      <w:r w:rsidRPr="00CF2C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F2CD0">
        <w:rPr>
          <w:rFonts w:ascii="Times New Roman" w:hAnsi="Times New Roman" w:cs="Times New Roman"/>
          <w:sz w:val="28"/>
          <w:szCs w:val="28"/>
        </w:rPr>
        <w:t xml:space="preserve">создание инфраструктуры профилактики рисков причинения вреда охраняемым </w:t>
      </w:r>
      <w:r w:rsidRPr="00CF2CD0">
        <w:rPr>
          <w:rFonts w:ascii="Times New Roman" w:hAnsi="Times New Roman" w:cs="Times New Roman"/>
          <w:sz w:val="28"/>
          <w:szCs w:val="28"/>
        </w:rPr>
        <w:t>законом ценностям.</w:t>
      </w: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Для достижения поставленных целей Программы профилактики необходимо решение следующих задач:</w:t>
      </w: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1)</w:t>
      </w:r>
      <w:r w:rsidRPr="00CF2C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F2CD0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возможному нарушению обязательных требований; </w:t>
      </w: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2)</w:t>
      </w:r>
      <w:r w:rsidRPr="00CF2C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F2CD0">
        <w:rPr>
          <w:rFonts w:ascii="Times New Roman" w:hAnsi="Times New Roman" w:cs="Times New Roman"/>
          <w:sz w:val="28"/>
          <w:szCs w:val="28"/>
        </w:rPr>
        <w:t>устранение причин, факторов и условий,</w:t>
      </w:r>
      <w:r w:rsidRPr="00CF2CD0">
        <w:rPr>
          <w:rFonts w:ascii="Times New Roman" w:hAnsi="Times New Roman" w:cs="Times New Roman"/>
          <w:sz w:val="28"/>
          <w:szCs w:val="28"/>
        </w:rPr>
        <w:t xml:space="preserve"> способствующих возможному нарушению обязательных требований; </w:t>
      </w: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3)</w:t>
      </w:r>
      <w:r w:rsidRPr="00CF2C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F2CD0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у всех участников отношений в области федерального государственного контроля (надзора), в том числе путем разъяснения контролируемому л</w:t>
      </w:r>
      <w:r w:rsidRPr="00CF2CD0">
        <w:rPr>
          <w:rFonts w:ascii="Times New Roman" w:hAnsi="Times New Roman" w:cs="Times New Roman"/>
          <w:sz w:val="28"/>
          <w:szCs w:val="28"/>
        </w:rPr>
        <w:t>ицу обязательных требований;</w:t>
      </w: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4)</w:t>
      </w:r>
      <w:r w:rsidRPr="00CF2C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F2CD0">
        <w:rPr>
          <w:rFonts w:ascii="Times New Roman" w:hAnsi="Times New Roman" w:cs="Times New Roman"/>
          <w:sz w:val="28"/>
          <w:szCs w:val="28"/>
        </w:rPr>
        <w:t>оценка состояния подконтрольной среды;</w:t>
      </w: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5)</w:t>
      </w:r>
      <w:r w:rsidRPr="00CF2C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F2CD0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с учетом данных состояния подконтрольной среды;</w:t>
      </w: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6)</w:t>
      </w:r>
      <w:r w:rsidRPr="00CF2C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F2CD0">
        <w:rPr>
          <w:rFonts w:ascii="Times New Roman" w:hAnsi="Times New Roman" w:cs="Times New Roman"/>
          <w:sz w:val="28"/>
          <w:szCs w:val="28"/>
        </w:rPr>
        <w:t>сбор и анализ статистических данных, необходимых для организации профилактической работы, в том числе для определения видов, форм и интенсивности профилактических мероприятий;</w:t>
      </w: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7)</w:t>
      </w:r>
      <w:r w:rsidRPr="00CF2C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F2CD0">
        <w:rPr>
          <w:rFonts w:ascii="Times New Roman" w:hAnsi="Times New Roman" w:cs="Times New Roman"/>
          <w:sz w:val="28"/>
          <w:szCs w:val="28"/>
        </w:rPr>
        <w:t>создание системы взаимодействия между контролируемыми лицами и Министерством,</w:t>
      </w:r>
      <w:r w:rsidRPr="00CF2CD0">
        <w:rPr>
          <w:rFonts w:ascii="Times New Roman" w:hAnsi="Times New Roman" w:cs="Times New Roman"/>
          <w:sz w:val="28"/>
          <w:szCs w:val="28"/>
        </w:rPr>
        <w:t xml:space="preserve"> обеспечивающей наиболее полное информирование </w:t>
      </w:r>
      <w:r w:rsidRPr="00CF2CD0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контролируемых лиц по вопросам соблюдения обязательных требований и проводимой Министерством профилактической работы; </w:t>
      </w: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8)</w:t>
      </w:r>
      <w:r w:rsidRPr="00CF2C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F2CD0">
        <w:rPr>
          <w:rFonts w:ascii="Times New Roman" w:hAnsi="Times New Roman" w:cs="Times New Roman"/>
          <w:sz w:val="28"/>
          <w:szCs w:val="28"/>
        </w:rPr>
        <w:t>автоматизация системы профилактики.</w:t>
      </w: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программы:</w:t>
      </w: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- снижение рисков причинения вреда охраняемым законом ценностям;</w:t>
      </w: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- развитие системы профилактических мероприятий;</w:t>
      </w: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- внедрение различных способов профилактики;</w:t>
      </w: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- разработка и внедрение технологий профилактической работы;</w:t>
      </w: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- повышение прозрачности контрольно</w:t>
      </w:r>
      <w:r w:rsidRPr="00CF2CD0">
        <w:rPr>
          <w:rFonts w:ascii="Times New Roman" w:hAnsi="Times New Roman" w:cs="Times New Roman"/>
          <w:sz w:val="28"/>
          <w:szCs w:val="28"/>
        </w:rPr>
        <w:t>-надзорной деятельности;</w:t>
      </w: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- уменьшение административной нагрузки на контролируемых лиц.</w:t>
      </w:r>
    </w:p>
    <w:p w:rsidR="00984CE9" w:rsidRPr="00CF2CD0" w:rsidRDefault="00984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CE9" w:rsidRPr="00CF2CD0" w:rsidRDefault="001D0C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CD0">
        <w:rPr>
          <w:rFonts w:ascii="Times New Roman" w:hAnsi="Times New Roman" w:cs="Times New Roman"/>
          <w:b/>
          <w:bCs/>
          <w:sz w:val="28"/>
          <w:szCs w:val="28"/>
        </w:rPr>
        <w:t xml:space="preserve"> Раздел 3. Перечень профилактических мероприятий, </w:t>
      </w:r>
    </w:p>
    <w:p w:rsidR="00984CE9" w:rsidRPr="00CF2CD0" w:rsidRDefault="001D0C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CD0">
        <w:rPr>
          <w:rFonts w:ascii="Times New Roman" w:hAnsi="Times New Roman" w:cs="Times New Roman"/>
          <w:b/>
          <w:bCs/>
          <w:sz w:val="28"/>
          <w:szCs w:val="28"/>
        </w:rPr>
        <w:t>сроки(периодичность) их проведения</w:t>
      </w:r>
    </w:p>
    <w:p w:rsidR="00984CE9" w:rsidRPr="00CF2CD0" w:rsidRDefault="00984C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В соответствии с пунктом 23 Положения о федеральном государственном контроле (надзоре), при осуществлении федерального государственного контроля (надзора) проводятся следующие профилактические мероприятия:</w:t>
      </w: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б) обобщение правоприменительно</w:t>
      </w:r>
      <w:r w:rsidRPr="00CF2CD0">
        <w:rPr>
          <w:rFonts w:ascii="Times New Roman" w:hAnsi="Times New Roman" w:cs="Times New Roman"/>
          <w:sz w:val="28"/>
          <w:szCs w:val="28"/>
        </w:rPr>
        <w:t>й практики;</w:t>
      </w: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д) обязательный профилактический визит.</w:t>
      </w:r>
    </w:p>
    <w:p w:rsidR="00984CE9" w:rsidRPr="00CF2CD0" w:rsidRDefault="00984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3685"/>
        <w:gridCol w:w="1843"/>
        <w:gridCol w:w="2551"/>
      </w:tblGrid>
      <w:tr w:rsidR="00984CE9" w:rsidRPr="00CF2CD0">
        <w:tc>
          <w:tcPr>
            <w:tcW w:w="567" w:type="dxa"/>
          </w:tcPr>
          <w:p w:rsidR="00984CE9" w:rsidRPr="00CF2CD0" w:rsidRDefault="001D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4CE9" w:rsidRPr="00CF2CD0" w:rsidRDefault="001D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3" w:type="dxa"/>
          </w:tcPr>
          <w:p w:rsidR="00984CE9" w:rsidRPr="00CF2CD0" w:rsidRDefault="001D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Наименование профилактического мероприятия</w:t>
            </w:r>
          </w:p>
        </w:tc>
        <w:tc>
          <w:tcPr>
            <w:tcW w:w="3685" w:type="dxa"/>
          </w:tcPr>
          <w:p w:rsidR="00984CE9" w:rsidRPr="00CF2CD0" w:rsidRDefault="001D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843" w:type="dxa"/>
          </w:tcPr>
          <w:p w:rsidR="00984CE9" w:rsidRPr="00CF2CD0" w:rsidRDefault="001D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Срок (периодичность)</w:t>
            </w:r>
          </w:p>
          <w:p w:rsidR="00984CE9" w:rsidRPr="00CF2CD0" w:rsidRDefault="001D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  <w:p w:rsidR="00984CE9" w:rsidRPr="00CF2CD0" w:rsidRDefault="00984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4CE9" w:rsidRPr="00CF2CD0" w:rsidRDefault="001D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Ответственное подразделение</w:t>
            </w:r>
          </w:p>
        </w:tc>
      </w:tr>
      <w:tr w:rsidR="00984CE9" w:rsidRPr="00CF2CD0">
        <w:trPr>
          <w:trHeight w:val="3038"/>
        </w:trPr>
        <w:tc>
          <w:tcPr>
            <w:tcW w:w="567" w:type="dxa"/>
          </w:tcPr>
          <w:p w:rsidR="00984CE9" w:rsidRPr="00CF2CD0" w:rsidRDefault="001D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984CE9" w:rsidRPr="00CF2CD0" w:rsidRDefault="001D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685" w:type="dxa"/>
          </w:tcPr>
          <w:p w:rsidR="00984CE9" w:rsidRPr="00CF2CD0" w:rsidRDefault="001D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Министерства в сети «Интернет», в иных информационных системах и поддержание в актуальном</w:t>
            </w:r>
          </w:p>
          <w:p w:rsidR="00984CE9" w:rsidRPr="00CF2CD0" w:rsidRDefault="001D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состоянии: </w:t>
            </w:r>
          </w:p>
          <w:p w:rsidR="00984CE9" w:rsidRPr="00CF2CD0" w:rsidRDefault="001D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1) текстов нормативных правовых актов, регулирующих осуществление государственного контроля (надзора);</w:t>
            </w:r>
          </w:p>
          <w:p w:rsidR="00984CE9" w:rsidRPr="00CF2CD0" w:rsidRDefault="001D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2) перечня нормати</w:t>
            </w: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вных правовых актов с указанием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</w:t>
            </w: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CF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нарушении обязательных требований, с текстами в действующей редакции;</w:t>
            </w:r>
          </w:p>
          <w:p w:rsidR="00984CE9" w:rsidRPr="00CF2CD0" w:rsidRDefault="001D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3) утвержденных проверочных листов;</w:t>
            </w:r>
          </w:p>
          <w:p w:rsidR="00984CE9" w:rsidRPr="00CF2CD0" w:rsidRDefault="001D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4) руководство по соблюдению обязательных требований;</w:t>
            </w:r>
          </w:p>
          <w:p w:rsidR="00984CE9" w:rsidRPr="00CF2CD0" w:rsidRDefault="001D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5) перечня индикаторов риска нарушения обязательных требований;</w:t>
            </w:r>
          </w:p>
          <w:p w:rsidR="00984CE9" w:rsidRPr="00CF2CD0" w:rsidRDefault="001D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 xml:space="preserve"> 6) перечня объектов контр</w:t>
            </w: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оля с указанием категории риска;</w:t>
            </w:r>
          </w:p>
          <w:p w:rsidR="00984CE9" w:rsidRPr="00CF2CD0" w:rsidRDefault="001D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7) программы профилактики рисков причинения вреда;</w:t>
            </w:r>
          </w:p>
          <w:p w:rsidR="00984CE9" w:rsidRPr="00CF2CD0" w:rsidRDefault="001D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8) плана проведения плановых контрольных (надзорных) мероприятий (при наличии);</w:t>
            </w:r>
          </w:p>
          <w:p w:rsidR="00984CE9" w:rsidRPr="00CF2CD0" w:rsidRDefault="001D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9) исчерпывающего перечня сведений, которые могут запрашиваться у контролируемого лица;</w:t>
            </w:r>
          </w:p>
          <w:p w:rsidR="00984CE9" w:rsidRPr="00CF2CD0" w:rsidRDefault="001D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сведений и способах получения консультаций по вопросам соблюдения обязательных требований;</w:t>
            </w:r>
          </w:p>
          <w:p w:rsidR="00984CE9" w:rsidRPr="00CF2CD0" w:rsidRDefault="001D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11) 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984CE9" w:rsidRPr="00CF2CD0" w:rsidRDefault="001D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12) доклада, содержащих результа</w:t>
            </w: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ты обобщения правоприменительной практики;</w:t>
            </w:r>
          </w:p>
          <w:p w:rsidR="00984CE9" w:rsidRPr="00CF2CD0" w:rsidRDefault="001D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13) доклада о государственном контроле (надзоре);</w:t>
            </w:r>
          </w:p>
          <w:p w:rsidR="00984CE9" w:rsidRPr="00CF2CD0" w:rsidRDefault="001D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 xml:space="preserve">14) иные сведения, предусмотренные нормативными правовыми актами Российской Федерации, нормативными правовыми актами субъектов Российской Федерации. </w:t>
            </w:r>
          </w:p>
          <w:p w:rsidR="00984CE9" w:rsidRPr="00CF2CD0" w:rsidRDefault="00984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4CE9" w:rsidRPr="00CF2CD0" w:rsidRDefault="001D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551" w:type="dxa"/>
          </w:tcPr>
          <w:p w:rsidR="00984CE9" w:rsidRPr="00CF2CD0" w:rsidRDefault="001D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Отдел развития транспорта и инфраструктуры</w:t>
            </w:r>
          </w:p>
        </w:tc>
      </w:tr>
      <w:tr w:rsidR="00984CE9" w:rsidRPr="00CF2CD0">
        <w:tc>
          <w:tcPr>
            <w:tcW w:w="567" w:type="dxa"/>
          </w:tcPr>
          <w:p w:rsidR="00984CE9" w:rsidRPr="00CF2CD0" w:rsidRDefault="001D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3" w:type="dxa"/>
          </w:tcPr>
          <w:p w:rsidR="00984CE9" w:rsidRPr="00CF2CD0" w:rsidRDefault="001D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                           правоприменительной практики </w:t>
            </w:r>
          </w:p>
        </w:tc>
        <w:tc>
          <w:tcPr>
            <w:tcW w:w="3685" w:type="dxa"/>
          </w:tcPr>
          <w:p w:rsidR="00984CE9" w:rsidRPr="00CF2CD0" w:rsidRDefault="001D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Утверждение приказом Министерства доклада о правоприменительной практике не позднее 30 августа года, следующего за отчетн</w:t>
            </w: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 xml:space="preserve">ым и его размещение на официальном сайте Министерства в сети «Интернет» в трехдневный срок </w:t>
            </w:r>
            <w:r w:rsidRPr="00CF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дня                                 утверждения.</w:t>
            </w:r>
          </w:p>
        </w:tc>
        <w:tc>
          <w:tcPr>
            <w:tcW w:w="1843" w:type="dxa"/>
          </w:tcPr>
          <w:p w:rsidR="00984CE9" w:rsidRPr="00CF2CD0" w:rsidRDefault="001D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2551" w:type="dxa"/>
          </w:tcPr>
          <w:p w:rsidR="00984CE9" w:rsidRPr="00CF2CD0" w:rsidRDefault="001D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Отдел развития транспорта и инфраструктуры</w:t>
            </w:r>
          </w:p>
        </w:tc>
      </w:tr>
      <w:tr w:rsidR="00984CE9" w:rsidRPr="00CF2CD0">
        <w:tc>
          <w:tcPr>
            <w:tcW w:w="567" w:type="dxa"/>
          </w:tcPr>
          <w:p w:rsidR="00984CE9" w:rsidRPr="00CF2CD0" w:rsidRDefault="001D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3" w:type="dxa"/>
          </w:tcPr>
          <w:p w:rsidR="00984CE9" w:rsidRPr="00CF2CD0" w:rsidRDefault="001D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685" w:type="dxa"/>
          </w:tcPr>
          <w:p w:rsidR="00984CE9" w:rsidRPr="00CF2CD0" w:rsidRDefault="001D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Наличие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</w:t>
            </w: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стям.</w:t>
            </w:r>
          </w:p>
          <w:p w:rsidR="00984CE9" w:rsidRPr="00CF2CD0" w:rsidRDefault="001D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контролируемого лица о недопустимости нарушения обязательных требований и предложение принять меры по обеспечение соблюдения обязательных требований.  </w:t>
            </w:r>
          </w:p>
        </w:tc>
        <w:tc>
          <w:tcPr>
            <w:tcW w:w="1843" w:type="dxa"/>
          </w:tcPr>
          <w:p w:rsidR="00984CE9" w:rsidRPr="00CF2CD0" w:rsidRDefault="001D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При наличии соответствующих сведений</w:t>
            </w:r>
          </w:p>
        </w:tc>
        <w:tc>
          <w:tcPr>
            <w:tcW w:w="2551" w:type="dxa"/>
          </w:tcPr>
          <w:p w:rsidR="00984CE9" w:rsidRPr="00CF2CD0" w:rsidRDefault="001D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Отдел развития транспорта и инфраструктуры</w:t>
            </w:r>
          </w:p>
        </w:tc>
      </w:tr>
      <w:tr w:rsidR="00984CE9" w:rsidRPr="00CF2CD0">
        <w:tc>
          <w:tcPr>
            <w:tcW w:w="567" w:type="dxa"/>
          </w:tcPr>
          <w:p w:rsidR="00984CE9" w:rsidRPr="00CF2CD0" w:rsidRDefault="001D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</w:tcPr>
          <w:p w:rsidR="00984CE9" w:rsidRPr="00CF2CD0" w:rsidRDefault="001D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</w:t>
            </w:r>
          </w:p>
        </w:tc>
        <w:tc>
          <w:tcPr>
            <w:tcW w:w="3685" w:type="dxa"/>
          </w:tcPr>
          <w:p w:rsidR="00984CE9" w:rsidRPr="00CF2CD0" w:rsidRDefault="001D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в отношении </w:t>
            </w:r>
          </w:p>
          <w:p w:rsidR="00984CE9" w:rsidRPr="00CF2CD0" w:rsidRDefault="001D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а) объектов федерального контроля, отнесенных к категории высокого риска;</w:t>
            </w:r>
          </w:p>
          <w:p w:rsidR="00984CE9" w:rsidRPr="00CF2CD0" w:rsidRDefault="001D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б) контролируемых лиц, которые впервые начали осуществлять деятельность в области внеуличного транспорта.</w:t>
            </w:r>
          </w:p>
          <w:p w:rsidR="00984CE9" w:rsidRPr="00CF2CD0" w:rsidRDefault="00984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4CE9" w:rsidRPr="00CF2CD0" w:rsidRDefault="001D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В текущем режи</w:t>
            </w: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2551" w:type="dxa"/>
          </w:tcPr>
          <w:p w:rsidR="00984CE9" w:rsidRPr="00CF2CD0" w:rsidRDefault="001D0C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2CD0">
              <w:rPr>
                <w:rFonts w:ascii="Times New Roman" w:hAnsi="Times New Roman" w:cs="Times New Roman"/>
                <w:sz w:val="24"/>
                <w:szCs w:val="24"/>
              </w:rPr>
              <w:t>Отдел развития транспорта и инфраструктуры</w:t>
            </w:r>
          </w:p>
        </w:tc>
      </w:tr>
    </w:tbl>
    <w:p w:rsidR="00984CE9" w:rsidRPr="00CF2CD0" w:rsidRDefault="00984C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84CE9" w:rsidRPr="00CF2CD0" w:rsidRDefault="001D0C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CD0">
        <w:rPr>
          <w:rFonts w:ascii="Times New Roman" w:hAnsi="Times New Roman" w:cs="Times New Roman"/>
          <w:b/>
          <w:bCs/>
          <w:sz w:val="28"/>
          <w:szCs w:val="28"/>
        </w:rPr>
        <w:t xml:space="preserve"> Раздел </w:t>
      </w:r>
      <w:r w:rsidRPr="00CF2CD0">
        <w:rPr>
          <w:rFonts w:ascii="Times New Roman" w:hAnsi="Times New Roman" w:cs="Times New Roman"/>
          <w:b/>
          <w:bCs/>
          <w:vanish/>
          <w:sz w:val="28"/>
          <w:szCs w:val="28"/>
        </w:rPr>
        <w:t>азделРаРрррр Рааа</w:t>
      </w:r>
      <w:r w:rsidRPr="00CF2CD0">
        <w:rPr>
          <w:rFonts w:ascii="Times New Roman" w:hAnsi="Times New Roman" w:cs="Times New Roman"/>
          <w:b/>
          <w:bCs/>
          <w:sz w:val="28"/>
          <w:szCs w:val="28"/>
        </w:rPr>
        <w:t>4. Показатели результативности и эффективности Программы профилактики</w:t>
      </w:r>
    </w:p>
    <w:p w:rsidR="00984CE9" w:rsidRPr="00CF2CD0" w:rsidRDefault="00984C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CE9" w:rsidRPr="00CF2CD0" w:rsidRDefault="00984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0916" w:type="dxa"/>
        <w:tblInd w:w="-856" w:type="dxa"/>
        <w:tblLook w:val="04A0" w:firstRow="1" w:lastRow="0" w:firstColumn="1" w:lastColumn="0" w:noHBand="0" w:noVBand="1"/>
      </w:tblPr>
      <w:tblGrid>
        <w:gridCol w:w="709"/>
        <w:gridCol w:w="2977"/>
        <w:gridCol w:w="4253"/>
        <w:gridCol w:w="2977"/>
      </w:tblGrid>
      <w:tr w:rsidR="00984CE9" w:rsidRPr="00CF2CD0">
        <w:trPr>
          <w:trHeight w:val="352"/>
        </w:trPr>
        <w:tc>
          <w:tcPr>
            <w:tcW w:w="709" w:type="dxa"/>
            <w:vMerge w:val="restart"/>
          </w:tcPr>
          <w:p w:rsidR="00984CE9" w:rsidRPr="00CF2CD0" w:rsidRDefault="001D0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CD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</w:tcPr>
          <w:p w:rsidR="00984CE9" w:rsidRPr="00CF2CD0" w:rsidRDefault="001D0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CD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53" w:type="dxa"/>
            <w:vMerge w:val="restart"/>
          </w:tcPr>
          <w:p w:rsidR="00984CE9" w:rsidRPr="00CF2CD0" w:rsidRDefault="001D0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CD0">
              <w:rPr>
                <w:rFonts w:ascii="Times New Roman" w:hAnsi="Times New Roman" w:cs="Times New Roman"/>
                <w:sz w:val="28"/>
                <w:szCs w:val="28"/>
              </w:rPr>
              <w:t>Методика расчета значения показателя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84CE9" w:rsidRPr="00CF2CD0" w:rsidRDefault="001D0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CD0"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</w:p>
        </w:tc>
      </w:tr>
      <w:tr w:rsidR="00984CE9" w:rsidRPr="00CF2CD0">
        <w:trPr>
          <w:trHeight w:val="291"/>
        </w:trPr>
        <w:tc>
          <w:tcPr>
            <w:tcW w:w="709" w:type="dxa"/>
            <w:vMerge/>
          </w:tcPr>
          <w:p w:rsidR="00984CE9" w:rsidRPr="00CF2CD0" w:rsidRDefault="00984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84CE9" w:rsidRPr="00CF2CD0" w:rsidRDefault="00984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84CE9" w:rsidRPr="00CF2CD0" w:rsidRDefault="00984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84CE9" w:rsidRPr="00CF2CD0" w:rsidRDefault="001D0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CD0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984CE9" w:rsidRPr="00CF2CD0">
        <w:tc>
          <w:tcPr>
            <w:tcW w:w="709" w:type="dxa"/>
          </w:tcPr>
          <w:p w:rsidR="00984CE9" w:rsidRPr="00CF2CD0" w:rsidRDefault="001D0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C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84CE9" w:rsidRPr="00CF2CD0" w:rsidRDefault="001D0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C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84CE9" w:rsidRPr="00CF2CD0" w:rsidRDefault="001D0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C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984CE9" w:rsidRPr="00CF2CD0" w:rsidRDefault="001D0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C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4CE9" w:rsidRPr="00CF2CD0">
        <w:trPr>
          <w:trHeight w:val="371"/>
        </w:trPr>
        <w:tc>
          <w:tcPr>
            <w:tcW w:w="709" w:type="dxa"/>
          </w:tcPr>
          <w:p w:rsidR="00984CE9" w:rsidRPr="00CF2CD0" w:rsidRDefault="001D0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C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84CE9" w:rsidRPr="00CF2CD0" w:rsidRDefault="001D0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CD0">
              <w:rPr>
                <w:rFonts w:ascii="Times New Roman" w:hAnsi="Times New Roman" w:cs="Times New Roman"/>
                <w:sz w:val="28"/>
                <w:szCs w:val="28"/>
              </w:rPr>
              <w:t>Доля нарушений правил технической эксплуатации Новосибирского метрополитена</w:t>
            </w:r>
          </w:p>
        </w:tc>
        <w:tc>
          <w:tcPr>
            <w:tcW w:w="4253" w:type="dxa"/>
          </w:tcPr>
          <w:p w:rsidR="00984CE9" w:rsidRPr="00CF2CD0" w:rsidRDefault="001D0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CD0">
              <w:rPr>
                <w:rFonts w:ascii="Times New Roman" w:hAnsi="Times New Roman" w:cs="Times New Roman"/>
                <w:sz w:val="28"/>
                <w:szCs w:val="28"/>
              </w:rPr>
              <w:t>Х=А х 100%/В, где</w:t>
            </w:r>
          </w:p>
          <w:p w:rsidR="00984CE9" w:rsidRPr="00CF2CD0" w:rsidRDefault="001D0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CD0">
              <w:rPr>
                <w:rFonts w:ascii="Times New Roman" w:hAnsi="Times New Roman" w:cs="Times New Roman"/>
                <w:sz w:val="28"/>
                <w:szCs w:val="28"/>
              </w:rPr>
              <w:t>Х – доля нарушений правил технической эксплуатации Новосибирского метрополитена;</w:t>
            </w:r>
          </w:p>
          <w:p w:rsidR="00984CE9" w:rsidRPr="00CF2CD0" w:rsidRDefault="001D0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CD0">
              <w:rPr>
                <w:rFonts w:ascii="Times New Roman" w:hAnsi="Times New Roman" w:cs="Times New Roman"/>
                <w:sz w:val="28"/>
                <w:szCs w:val="28"/>
              </w:rPr>
              <w:t>А – количество нарушений правил технической эксплуатации Новосибирского метрополи</w:t>
            </w:r>
            <w:r w:rsidRPr="00CF2CD0">
              <w:rPr>
                <w:rFonts w:ascii="Times New Roman" w:hAnsi="Times New Roman" w:cs="Times New Roman"/>
                <w:sz w:val="28"/>
                <w:szCs w:val="28"/>
              </w:rPr>
              <w:t>тена, допущенных подконтрольным субъектом и выявленных при проведении проверок;</w:t>
            </w:r>
          </w:p>
          <w:p w:rsidR="00984CE9" w:rsidRPr="00CF2CD0" w:rsidRDefault="001D0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C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– количество нарушений правил технической эксплуатации Новосибирского метрополитена, допущенных подконтрольным субъектом и выявленных при проведении проверок в базовом периоде (2021 год)</w:t>
            </w:r>
          </w:p>
        </w:tc>
        <w:tc>
          <w:tcPr>
            <w:tcW w:w="2977" w:type="dxa"/>
          </w:tcPr>
          <w:p w:rsidR="00984CE9" w:rsidRPr="00CF2CD0" w:rsidRDefault="001D0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C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83%</w:t>
            </w:r>
          </w:p>
        </w:tc>
      </w:tr>
      <w:tr w:rsidR="00984CE9" w:rsidRPr="00CF2CD0">
        <w:tc>
          <w:tcPr>
            <w:tcW w:w="709" w:type="dxa"/>
          </w:tcPr>
          <w:p w:rsidR="00984CE9" w:rsidRPr="00CF2CD0" w:rsidRDefault="001D0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C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</w:tcPr>
          <w:p w:rsidR="00984CE9" w:rsidRPr="00CF2CD0" w:rsidRDefault="001D0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CD0">
              <w:rPr>
                <w:rFonts w:ascii="Times New Roman" w:hAnsi="Times New Roman" w:cs="Times New Roman"/>
                <w:sz w:val="28"/>
                <w:szCs w:val="28"/>
              </w:rPr>
              <w:t>Доля нарушений правил пользования Новосибирским метрополитен</w:t>
            </w:r>
            <w:r w:rsidRPr="00CF2CD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4253" w:type="dxa"/>
          </w:tcPr>
          <w:p w:rsidR="00984CE9" w:rsidRPr="00CF2CD0" w:rsidRDefault="001D0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F2CD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F2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F2CD0">
              <w:rPr>
                <w:rFonts w:ascii="Times New Roman" w:hAnsi="Times New Roman" w:cs="Times New Roman"/>
                <w:sz w:val="28"/>
                <w:szCs w:val="28"/>
              </w:rPr>
              <w:t xml:space="preserve"> х 100%/</w:t>
            </w:r>
            <w:r w:rsidRPr="00CF2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CF2CD0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984CE9" w:rsidRPr="00CF2CD0" w:rsidRDefault="001D0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F2CD0">
              <w:rPr>
                <w:rFonts w:ascii="Times New Roman" w:hAnsi="Times New Roman" w:cs="Times New Roman"/>
                <w:sz w:val="28"/>
                <w:szCs w:val="28"/>
              </w:rPr>
              <w:t xml:space="preserve"> – доля нарушений правил пользования Новосибирским метрополитеном;</w:t>
            </w:r>
          </w:p>
          <w:p w:rsidR="00984CE9" w:rsidRPr="00CF2CD0" w:rsidRDefault="001D0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CD0">
              <w:rPr>
                <w:rFonts w:ascii="Times New Roman" w:hAnsi="Times New Roman" w:cs="Times New Roman"/>
                <w:sz w:val="28"/>
                <w:szCs w:val="28"/>
              </w:rPr>
              <w:t>С – количество нарушений пользования Новосибирским метрополитеном, допущенных подконтрольным субъектом и выявленных при проведении проверок;</w:t>
            </w:r>
          </w:p>
          <w:p w:rsidR="00984CE9" w:rsidRPr="00CF2CD0" w:rsidRDefault="001D0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CF2CD0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нарушени</w:t>
            </w:r>
            <w:r w:rsidRPr="00CF2CD0">
              <w:rPr>
                <w:rFonts w:ascii="Times New Roman" w:hAnsi="Times New Roman" w:cs="Times New Roman"/>
                <w:sz w:val="28"/>
                <w:szCs w:val="28"/>
              </w:rPr>
              <w:t>й правил пользования Новосибирским метрополитеном, допущенных подконтрольным субъектом и выявленных при проведении проверок в базовом периоде 2021 год)</w:t>
            </w:r>
          </w:p>
        </w:tc>
        <w:tc>
          <w:tcPr>
            <w:tcW w:w="2977" w:type="dxa"/>
          </w:tcPr>
          <w:p w:rsidR="00984CE9" w:rsidRPr="00CF2CD0" w:rsidRDefault="001D0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CD0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</w:tr>
    </w:tbl>
    <w:p w:rsidR="00984CE9" w:rsidRPr="00CF2CD0" w:rsidRDefault="00984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В целях оценки результативности профилактических мероприятий базовым периодом установлен 2021 год.</w:t>
      </w: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Программа профилактики признается эффективной в случае достижения значений целевых показателей, предусмотренных настоящим разделом.</w:t>
      </w:r>
    </w:p>
    <w:p w:rsidR="00984CE9" w:rsidRPr="00CF2CD0" w:rsidRDefault="001D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D0">
        <w:rPr>
          <w:rFonts w:ascii="Times New Roman" w:hAnsi="Times New Roman" w:cs="Times New Roman"/>
          <w:sz w:val="28"/>
          <w:szCs w:val="28"/>
        </w:rPr>
        <w:t>В случае не достижения целевых значений показателей, программа профилактики признаётся недостаточно эффективной и требующей</w:t>
      </w:r>
      <w:r w:rsidRPr="00CF2CD0">
        <w:rPr>
          <w:rFonts w:ascii="Times New Roman" w:hAnsi="Times New Roman" w:cs="Times New Roman"/>
          <w:sz w:val="28"/>
          <w:szCs w:val="28"/>
        </w:rPr>
        <w:t xml:space="preserve"> изменений в части интенсивности и форм проведения мероприятий по профилактике.</w:t>
      </w:r>
    </w:p>
    <w:bookmarkEnd w:id="0"/>
    <w:p w:rsidR="00984CE9" w:rsidRPr="00CF2CD0" w:rsidRDefault="00984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84CE9" w:rsidRPr="00CF2CD0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C24" w:rsidRDefault="001D0C24">
      <w:pPr>
        <w:spacing w:after="0" w:line="240" w:lineRule="auto"/>
      </w:pPr>
      <w:r>
        <w:separator/>
      </w:r>
    </w:p>
  </w:endnote>
  <w:endnote w:type="continuationSeparator" w:id="0">
    <w:p w:rsidR="001D0C24" w:rsidRDefault="001D0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C24" w:rsidRDefault="001D0C24">
      <w:pPr>
        <w:spacing w:after="0" w:line="240" w:lineRule="auto"/>
      </w:pPr>
      <w:r>
        <w:separator/>
      </w:r>
    </w:p>
  </w:footnote>
  <w:footnote w:type="continuationSeparator" w:id="0">
    <w:p w:rsidR="001D0C24" w:rsidRDefault="001D0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3216063"/>
      <w:docPartObj>
        <w:docPartGallery w:val="Page Numbers (Top of Page)"/>
        <w:docPartUnique/>
      </w:docPartObj>
    </w:sdtPr>
    <w:sdtEndPr/>
    <w:sdtContent>
      <w:p w:rsidR="00984CE9" w:rsidRDefault="001D0C24">
        <w:pPr>
          <w:pStyle w:val="af6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2CD0">
          <w:rPr>
            <w:rFonts w:ascii="Times New Roman" w:hAnsi="Times New Roman" w:cs="Times New Roman"/>
            <w:noProof/>
            <w:sz w:val="20"/>
            <w:szCs w:val="20"/>
          </w:rPr>
          <w:t>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4CE9" w:rsidRDefault="00984CE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AFB"/>
    <w:multiLevelType w:val="hybridMultilevel"/>
    <w:tmpl w:val="ED6E42E6"/>
    <w:lvl w:ilvl="0" w:tplc="E4C61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58A8B08">
      <w:start w:val="1"/>
      <w:numFmt w:val="lowerLetter"/>
      <w:lvlText w:val="%2."/>
      <w:lvlJc w:val="left"/>
      <w:pPr>
        <w:ind w:left="1789" w:hanging="360"/>
      </w:pPr>
    </w:lvl>
    <w:lvl w:ilvl="2" w:tplc="46302836">
      <w:start w:val="1"/>
      <w:numFmt w:val="lowerRoman"/>
      <w:lvlText w:val="%3."/>
      <w:lvlJc w:val="right"/>
      <w:pPr>
        <w:ind w:left="2509" w:hanging="180"/>
      </w:pPr>
    </w:lvl>
    <w:lvl w:ilvl="3" w:tplc="F2D45FE6">
      <w:start w:val="1"/>
      <w:numFmt w:val="decimal"/>
      <w:lvlText w:val="%4."/>
      <w:lvlJc w:val="left"/>
      <w:pPr>
        <w:ind w:left="3229" w:hanging="360"/>
      </w:pPr>
    </w:lvl>
    <w:lvl w:ilvl="4" w:tplc="809C5F68">
      <w:start w:val="1"/>
      <w:numFmt w:val="lowerLetter"/>
      <w:lvlText w:val="%5."/>
      <w:lvlJc w:val="left"/>
      <w:pPr>
        <w:ind w:left="3949" w:hanging="360"/>
      </w:pPr>
    </w:lvl>
    <w:lvl w:ilvl="5" w:tplc="A68E0068">
      <w:start w:val="1"/>
      <w:numFmt w:val="lowerRoman"/>
      <w:lvlText w:val="%6."/>
      <w:lvlJc w:val="right"/>
      <w:pPr>
        <w:ind w:left="4669" w:hanging="180"/>
      </w:pPr>
    </w:lvl>
    <w:lvl w:ilvl="6" w:tplc="D04A1FE8">
      <w:start w:val="1"/>
      <w:numFmt w:val="decimal"/>
      <w:lvlText w:val="%7."/>
      <w:lvlJc w:val="left"/>
      <w:pPr>
        <w:ind w:left="5389" w:hanging="360"/>
      </w:pPr>
    </w:lvl>
    <w:lvl w:ilvl="7" w:tplc="48960BB2">
      <w:start w:val="1"/>
      <w:numFmt w:val="lowerLetter"/>
      <w:lvlText w:val="%8."/>
      <w:lvlJc w:val="left"/>
      <w:pPr>
        <w:ind w:left="6109" w:hanging="360"/>
      </w:pPr>
    </w:lvl>
    <w:lvl w:ilvl="8" w:tplc="128E39EE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F3C"/>
    <w:multiLevelType w:val="hybridMultilevel"/>
    <w:tmpl w:val="5E1257EA"/>
    <w:lvl w:ilvl="0" w:tplc="354E74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B44C36B4">
      <w:start w:val="1"/>
      <w:numFmt w:val="lowerLetter"/>
      <w:lvlText w:val="%2."/>
      <w:lvlJc w:val="left"/>
      <w:pPr>
        <w:ind w:left="1789" w:hanging="360"/>
      </w:pPr>
    </w:lvl>
    <w:lvl w:ilvl="2" w:tplc="1B76E1D8">
      <w:start w:val="1"/>
      <w:numFmt w:val="lowerRoman"/>
      <w:lvlText w:val="%3."/>
      <w:lvlJc w:val="right"/>
      <w:pPr>
        <w:ind w:left="2509" w:hanging="180"/>
      </w:pPr>
    </w:lvl>
    <w:lvl w:ilvl="3" w:tplc="A99A0C1A">
      <w:start w:val="1"/>
      <w:numFmt w:val="decimal"/>
      <w:lvlText w:val="%4."/>
      <w:lvlJc w:val="left"/>
      <w:pPr>
        <w:ind w:left="3229" w:hanging="360"/>
      </w:pPr>
    </w:lvl>
    <w:lvl w:ilvl="4" w:tplc="B16E5D76">
      <w:start w:val="1"/>
      <w:numFmt w:val="lowerLetter"/>
      <w:lvlText w:val="%5."/>
      <w:lvlJc w:val="left"/>
      <w:pPr>
        <w:ind w:left="3949" w:hanging="360"/>
      </w:pPr>
    </w:lvl>
    <w:lvl w:ilvl="5" w:tplc="D1A2E564">
      <w:start w:val="1"/>
      <w:numFmt w:val="lowerRoman"/>
      <w:lvlText w:val="%6."/>
      <w:lvlJc w:val="right"/>
      <w:pPr>
        <w:ind w:left="4669" w:hanging="180"/>
      </w:pPr>
    </w:lvl>
    <w:lvl w:ilvl="6" w:tplc="C692710C">
      <w:start w:val="1"/>
      <w:numFmt w:val="decimal"/>
      <w:lvlText w:val="%7."/>
      <w:lvlJc w:val="left"/>
      <w:pPr>
        <w:ind w:left="5389" w:hanging="360"/>
      </w:pPr>
    </w:lvl>
    <w:lvl w:ilvl="7" w:tplc="439E6042">
      <w:start w:val="1"/>
      <w:numFmt w:val="lowerLetter"/>
      <w:lvlText w:val="%8."/>
      <w:lvlJc w:val="left"/>
      <w:pPr>
        <w:ind w:left="6109" w:hanging="360"/>
      </w:pPr>
    </w:lvl>
    <w:lvl w:ilvl="8" w:tplc="51D0272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E83681"/>
    <w:multiLevelType w:val="hybridMultilevel"/>
    <w:tmpl w:val="6EC628EA"/>
    <w:lvl w:ilvl="0" w:tplc="E4484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66C51DC">
      <w:start w:val="1"/>
      <w:numFmt w:val="lowerLetter"/>
      <w:lvlText w:val="%2."/>
      <w:lvlJc w:val="left"/>
      <w:pPr>
        <w:ind w:left="1789" w:hanging="360"/>
      </w:pPr>
    </w:lvl>
    <w:lvl w:ilvl="2" w:tplc="DD9C53B0">
      <w:start w:val="1"/>
      <w:numFmt w:val="lowerRoman"/>
      <w:lvlText w:val="%3."/>
      <w:lvlJc w:val="right"/>
      <w:pPr>
        <w:ind w:left="2509" w:hanging="180"/>
      </w:pPr>
    </w:lvl>
    <w:lvl w:ilvl="3" w:tplc="FE06E376">
      <w:start w:val="1"/>
      <w:numFmt w:val="decimal"/>
      <w:lvlText w:val="%4."/>
      <w:lvlJc w:val="left"/>
      <w:pPr>
        <w:ind w:left="3229" w:hanging="360"/>
      </w:pPr>
    </w:lvl>
    <w:lvl w:ilvl="4" w:tplc="EC040B52">
      <w:start w:val="1"/>
      <w:numFmt w:val="lowerLetter"/>
      <w:lvlText w:val="%5."/>
      <w:lvlJc w:val="left"/>
      <w:pPr>
        <w:ind w:left="3949" w:hanging="360"/>
      </w:pPr>
    </w:lvl>
    <w:lvl w:ilvl="5" w:tplc="98C421F8">
      <w:start w:val="1"/>
      <w:numFmt w:val="lowerRoman"/>
      <w:lvlText w:val="%6."/>
      <w:lvlJc w:val="right"/>
      <w:pPr>
        <w:ind w:left="4669" w:hanging="180"/>
      </w:pPr>
    </w:lvl>
    <w:lvl w:ilvl="6" w:tplc="93CC741E">
      <w:start w:val="1"/>
      <w:numFmt w:val="decimal"/>
      <w:lvlText w:val="%7."/>
      <w:lvlJc w:val="left"/>
      <w:pPr>
        <w:ind w:left="5389" w:hanging="360"/>
      </w:pPr>
    </w:lvl>
    <w:lvl w:ilvl="7" w:tplc="3F24C418">
      <w:start w:val="1"/>
      <w:numFmt w:val="lowerLetter"/>
      <w:lvlText w:val="%8."/>
      <w:lvlJc w:val="left"/>
      <w:pPr>
        <w:ind w:left="6109" w:hanging="360"/>
      </w:pPr>
    </w:lvl>
    <w:lvl w:ilvl="8" w:tplc="6C7A01B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BD700A"/>
    <w:multiLevelType w:val="hybridMultilevel"/>
    <w:tmpl w:val="1B48F2EE"/>
    <w:lvl w:ilvl="0" w:tplc="5C4A011A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822C405C">
      <w:start w:val="1"/>
      <w:numFmt w:val="lowerLetter"/>
      <w:lvlText w:val="%2."/>
      <w:lvlJc w:val="left"/>
      <w:pPr>
        <w:ind w:left="2356" w:hanging="360"/>
      </w:pPr>
    </w:lvl>
    <w:lvl w:ilvl="2" w:tplc="696260C0">
      <w:start w:val="1"/>
      <w:numFmt w:val="lowerRoman"/>
      <w:lvlText w:val="%3."/>
      <w:lvlJc w:val="right"/>
      <w:pPr>
        <w:ind w:left="3076" w:hanging="180"/>
      </w:pPr>
    </w:lvl>
    <w:lvl w:ilvl="3" w:tplc="2BF6DE72">
      <w:start w:val="1"/>
      <w:numFmt w:val="decimal"/>
      <w:lvlText w:val="%4."/>
      <w:lvlJc w:val="left"/>
      <w:pPr>
        <w:ind w:left="3796" w:hanging="360"/>
      </w:pPr>
    </w:lvl>
    <w:lvl w:ilvl="4" w:tplc="52C23300">
      <w:start w:val="1"/>
      <w:numFmt w:val="lowerLetter"/>
      <w:lvlText w:val="%5."/>
      <w:lvlJc w:val="left"/>
      <w:pPr>
        <w:ind w:left="4516" w:hanging="360"/>
      </w:pPr>
    </w:lvl>
    <w:lvl w:ilvl="5" w:tplc="16DC75E8">
      <w:start w:val="1"/>
      <w:numFmt w:val="lowerRoman"/>
      <w:lvlText w:val="%6."/>
      <w:lvlJc w:val="right"/>
      <w:pPr>
        <w:ind w:left="5236" w:hanging="180"/>
      </w:pPr>
    </w:lvl>
    <w:lvl w:ilvl="6" w:tplc="BDC841BC">
      <w:start w:val="1"/>
      <w:numFmt w:val="decimal"/>
      <w:lvlText w:val="%7."/>
      <w:lvlJc w:val="left"/>
      <w:pPr>
        <w:ind w:left="5956" w:hanging="360"/>
      </w:pPr>
    </w:lvl>
    <w:lvl w:ilvl="7" w:tplc="2EEEF018">
      <w:start w:val="1"/>
      <w:numFmt w:val="lowerLetter"/>
      <w:lvlText w:val="%8."/>
      <w:lvlJc w:val="left"/>
      <w:pPr>
        <w:ind w:left="6676" w:hanging="360"/>
      </w:pPr>
    </w:lvl>
    <w:lvl w:ilvl="8" w:tplc="4CF0EBBE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49A87291"/>
    <w:multiLevelType w:val="hybridMultilevel"/>
    <w:tmpl w:val="084C9F1E"/>
    <w:lvl w:ilvl="0" w:tplc="EE5CD98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5EDA2978">
      <w:start w:val="1"/>
      <w:numFmt w:val="lowerLetter"/>
      <w:lvlText w:val="%2."/>
      <w:lvlJc w:val="left"/>
      <w:pPr>
        <w:ind w:left="1789" w:hanging="360"/>
      </w:pPr>
    </w:lvl>
    <w:lvl w:ilvl="2" w:tplc="4DE822BE">
      <w:start w:val="1"/>
      <w:numFmt w:val="lowerRoman"/>
      <w:lvlText w:val="%3."/>
      <w:lvlJc w:val="right"/>
      <w:pPr>
        <w:ind w:left="2509" w:hanging="180"/>
      </w:pPr>
    </w:lvl>
    <w:lvl w:ilvl="3" w:tplc="212E44EE">
      <w:start w:val="1"/>
      <w:numFmt w:val="decimal"/>
      <w:lvlText w:val="%4."/>
      <w:lvlJc w:val="left"/>
      <w:pPr>
        <w:ind w:left="3229" w:hanging="360"/>
      </w:pPr>
    </w:lvl>
    <w:lvl w:ilvl="4" w:tplc="B1F6D98E">
      <w:start w:val="1"/>
      <w:numFmt w:val="lowerLetter"/>
      <w:lvlText w:val="%5."/>
      <w:lvlJc w:val="left"/>
      <w:pPr>
        <w:ind w:left="3949" w:hanging="360"/>
      </w:pPr>
    </w:lvl>
    <w:lvl w:ilvl="5" w:tplc="E01C26A2">
      <w:start w:val="1"/>
      <w:numFmt w:val="lowerRoman"/>
      <w:lvlText w:val="%6."/>
      <w:lvlJc w:val="right"/>
      <w:pPr>
        <w:ind w:left="4669" w:hanging="180"/>
      </w:pPr>
    </w:lvl>
    <w:lvl w:ilvl="6" w:tplc="A30EFDD6">
      <w:start w:val="1"/>
      <w:numFmt w:val="decimal"/>
      <w:lvlText w:val="%7."/>
      <w:lvlJc w:val="left"/>
      <w:pPr>
        <w:ind w:left="5389" w:hanging="360"/>
      </w:pPr>
    </w:lvl>
    <w:lvl w:ilvl="7" w:tplc="C074C2CA">
      <w:start w:val="1"/>
      <w:numFmt w:val="lowerLetter"/>
      <w:lvlText w:val="%8."/>
      <w:lvlJc w:val="left"/>
      <w:pPr>
        <w:ind w:left="6109" w:hanging="360"/>
      </w:pPr>
    </w:lvl>
    <w:lvl w:ilvl="8" w:tplc="79761506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660B38"/>
    <w:multiLevelType w:val="hybridMultilevel"/>
    <w:tmpl w:val="47A2A588"/>
    <w:lvl w:ilvl="0" w:tplc="D31EA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D1E837A">
      <w:start w:val="1"/>
      <w:numFmt w:val="lowerLetter"/>
      <w:lvlText w:val="%2."/>
      <w:lvlJc w:val="left"/>
      <w:pPr>
        <w:ind w:left="1789" w:hanging="360"/>
      </w:pPr>
    </w:lvl>
    <w:lvl w:ilvl="2" w:tplc="7A325456">
      <w:start w:val="1"/>
      <w:numFmt w:val="lowerRoman"/>
      <w:lvlText w:val="%3."/>
      <w:lvlJc w:val="right"/>
      <w:pPr>
        <w:ind w:left="2509" w:hanging="180"/>
      </w:pPr>
    </w:lvl>
    <w:lvl w:ilvl="3" w:tplc="E9840EB2">
      <w:start w:val="1"/>
      <w:numFmt w:val="decimal"/>
      <w:lvlText w:val="%4."/>
      <w:lvlJc w:val="left"/>
      <w:pPr>
        <w:ind w:left="3229" w:hanging="360"/>
      </w:pPr>
    </w:lvl>
    <w:lvl w:ilvl="4" w:tplc="0AF49424">
      <w:start w:val="1"/>
      <w:numFmt w:val="lowerLetter"/>
      <w:lvlText w:val="%5."/>
      <w:lvlJc w:val="left"/>
      <w:pPr>
        <w:ind w:left="3949" w:hanging="360"/>
      </w:pPr>
    </w:lvl>
    <w:lvl w:ilvl="5" w:tplc="D3BC8CB8">
      <w:start w:val="1"/>
      <w:numFmt w:val="lowerRoman"/>
      <w:lvlText w:val="%6."/>
      <w:lvlJc w:val="right"/>
      <w:pPr>
        <w:ind w:left="4669" w:hanging="180"/>
      </w:pPr>
    </w:lvl>
    <w:lvl w:ilvl="6" w:tplc="077ECA6E">
      <w:start w:val="1"/>
      <w:numFmt w:val="decimal"/>
      <w:lvlText w:val="%7."/>
      <w:lvlJc w:val="left"/>
      <w:pPr>
        <w:ind w:left="5389" w:hanging="360"/>
      </w:pPr>
    </w:lvl>
    <w:lvl w:ilvl="7" w:tplc="8884D1BE">
      <w:start w:val="1"/>
      <w:numFmt w:val="lowerLetter"/>
      <w:lvlText w:val="%8."/>
      <w:lvlJc w:val="left"/>
      <w:pPr>
        <w:ind w:left="6109" w:hanging="360"/>
      </w:pPr>
    </w:lvl>
    <w:lvl w:ilvl="8" w:tplc="22B256F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E9"/>
    <w:rsid w:val="001D0C24"/>
    <w:rsid w:val="00657E77"/>
    <w:rsid w:val="00984CE9"/>
    <w:rsid w:val="00C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CC0C3-8B23-4F7A-88C1-CA65848B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1958</Words>
  <Characters>11161</Characters>
  <Application>Microsoft Office Word</Application>
  <DocSecurity>0</DocSecurity>
  <Lines>93</Lines>
  <Paragraphs>26</Paragraphs>
  <ScaleCrop>false</ScaleCrop>
  <Company>PNO</Company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Байшев Сергей Алиевич</dc:creator>
  <cp:keywords/>
  <dc:description/>
  <cp:lastModifiedBy>Байшев Сергей Алиевич</cp:lastModifiedBy>
  <cp:revision>45</cp:revision>
  <dcterms:created xsi:type="dcterms:W3CDTF">2022-12-23T06:29:00Z</dcterms:created>
  <dcterms:modified xsi:type="dcterms:W3CDTF">2025-03-20T01:57:00Z</dcterms:modified>
</cp:coreProperties>
</file>