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4CE9" w:rsidRDefault="001D0C24">
      <w:pPr>
        <w:spacing w:after="0" w:line="240" w:lineRule="auto"/>
        <w:ind w:left="5103" w:firstLine="991"/>
        <w:rPr>
          <w:rFonts w:ascii="Times New Roman" w:hAnsi="Times New Roman" w:cs="Times New Roman"/>
          <w:sz w:val="28"/>
          <w:szCs w:val="28"/>
        </w:rPr>
      </w:pPr>
      <w:r>
        <w:rPr>
          <w:rFonts w:ascii="Times New Roman" w:eastAsia="Times New Roman" w:hAnsi="Times New Roman" w:cs="Times New Roman"/>
          <w:sz w:val="28"/>
          <w:szCs w:val="28"/>
        </w:rPr>
        <w:t xml:space="preserve">      УТВЕРЖДЕНА</w:t>
      </w:r>
    </w:p>
    <w:p w:rsidR="00984CE9" w:rsidRDefault="001D0C24">
      <w:pPr>
        <w:spacing w:after="0" w:line="240" w:lineRule="auto"/>
        <w:ind w:left="6520" w:hanging="2126"/>
        <w:rPr>
          <w:rFonts w:ascii="Times New Roman" w:eastAsia="Calibri" w:hAnsi="Times New Roman" w:cs="Times New Roman"/>
          <w:sz w:val="28"/>
          <w:szCs w:val="28"/>
        </w:rPr>
      </w:pPr>
      <w:r>
        <w:rPr>
          <w:rFonts w:ascii="Times New Roman" w:eastAsia="Calibri" w:hAnsi="Times New Roman" w:cs="Times New Roman"/>
          <w:sz w:val="28"/>
          <w:szCs w:val="28"/>
        </w:rPr>
        <w:t xml:space="preserve">                              приказом министерства      транспорта</w:t>
      </w:r>
    </w:p>
    <w:p w:rsidR="00984CE9" w:rsidRDefault="001D0C24">
      <w:pPr>
        <w:spacing w:after="0" w:line="240" w:lineRule="auto"/>
        <w:ind w:left="5103"/>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и дорожного хозяйства</w:t>
      </w:r>
    </w:p>
    <w:p w:rsidR="00984CE9" w:rsidRDefault="001D0C24">
      <w:pPr>
        <w:spacing w:after="0" w:line="240" w:lineRule="auto"/>
        <w:ind w:left="5103"/>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Новосибирской области</w:t>
      </w:r>
    </w:p>
    <w:p w:rsidR="00984CE9" w:rsidRDefault="00A07571">
      <w:pPr>
        <w:spacing w:after="0" w:line="240" w:lineRule="auto"/>
        <w:ind w:left="5103"/>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от 25.12.2024</w:t>
      </w:r>
      <w:r w:rsidR="001D0C24">
        <w:rPr>
          <w:rFonts w:ascii="Times New Roman" w:eastAsia="Calibri" w:hAnsi="Times New Roman" w:cs="Times New Roman"/>
          <w:sz w:val="28"/>
          <w:szCs w:val="28"/>
        </w:rPr>
        <w:t xml:space="preserve"> № </w:t>
      </w:r>
      <w:r>
        <w:rPr>
          <w:rFonts w:ascii="Times New Roman" w:eastAsia="Calibri" w:hAnsi="Times New Roman" w:cs="Times New Roman"/>
          <w:sz w:val="28"/>
          <w:szCs w:val="28"/>
        </w:rPr>
        <w:t>303</w:t>
      </w:r>
      <w:bookmarkStart w:id="0" w:name="_GoBack"/>
      <w:bookmarkEnd w:id="0"/>
    </w:p>
    <w:p w:rsidR="00984CE9" w:rsidRDefault="00984CE9">
      <w:pPr>
        <w:spacing w:after="0" w:line="240" w:lineRule="auto"/>
        <w:ind w:firstLine="5670"/>
        <w:jc w:val="center"/>
        <w:rPr>
          <w:rFonts w:ascii="Times New Roman" w:eastAsia="Calibri" w:hAnsi="Times New Roman" w:cs="Times New Roman"/>
          <w:sz w:val="28"/>
          <w:szCs w:val="28"/>
        </w:rPr>
      </w:pPr>
    </w:p>
    <w:p w:rsidR="00984CE9" w:rsidRDefault="00984CE9">
      <w:pPr>
        <w:spacing w:after="0" w:line="240" w:lineRule="auto"/>
        <w:ind w:firstLine="5670"/>
        <w:jc w:val="center"/>
        <w:rPr>
          <w:rFonts w:ascii="Times New Roman" w:eastAsia="Calibri" w:hAnsi="Times New Roman" w:cs="Times New Roman"/>
          <w:sz w:val="28"/>
          <w:szCs w:val="28"/>
        </w:rPr>
      </w:pPr>
    </w:p>
    <w:p w:rsidR="00984CE9" w:rsidRDefault="00984CE9">
      <w:pPr>
        <w:spacing w:after="0" w:line="240" w:lineRule="auto"/>
        <w:ind w:firstLine="5670"/>
        <w:jc w:val="center"/>
        <w:rPr>
          <w:rFonts w:ascii="Times New Roman" w:eastAsia="Calibri" w:hAnsi="Times New Roman" w:cs="Times New Roman"/>
          <w:sz w:val="28"/>
          <w:szCs w:val="28"/>
        </w:rPr>
      </w:pPr>
    </w:p>
    <w:p w:rsidR="00984CE9" w:rsidRDefault="00984CE9">
      <w:pPr>
        <w:spacing w:after="0" w:line="240" w:lineRule="auto"/>
        <w:ind w:firstLine="5670"/>
        <w:jc w:val="center"/>
        <w:rPr>
          <w:rFonts w:ascii="Times New Roman" w:eastAsia="Calibri" w:hAnsi="Times New Roman" w:cs="Times New Roman"/>
          <w:sz w:val="28"/>
          <w:szCs w:val="28"/>
        </w:rPr>
      </w:pPr>
    </w:p>
    <w:p w:rsidR="00984CE9" w:rsidRDefault="001D0C24">
      <w:pPr>
        <w:spacing w:after="0" w:line="240" w:lineRule="auto"/>
        <w:jc w:val="center"/>
        <w:rPr>
          <w:rFonts w:ascii="Times New Roman" w:hAnsi="Times New Roman" w:cs="Times New Roman"/>
          <w:b/>
          <w:bCs/>
          <w:sz w:val="28"/>
          <w:szCs w:val="28"/>
        </w:rPr>
      </w:pPr>
      <w:r>
        <w:rPr>
          <w:rFonts w:ascii="Times New Roman" w:eastAsia="Times New Roman" w:hAnsi="Times New Roman" w:cs="Times New Roman"/>
          <w:b/>
          <w:bCs/>
          <w:sz w:val="28"/>
          <w:szCs w:val="28"/>
        </w:rPr>
        <w:t>ПРОГРАММА</w:t>
      </w:r>
    </w:p>
    <w:p w:rsidR="00984CE9" w:rsidRDefault="001D0C24">
      <w:pPr>
        <w:spacing w:after="0" w:line="240" w:lineRule="auto"/>
        <w:jc w:val="center"/>
        <w:rPr>
          <w:rFonts w:ascii="Times New Roman" w:hAnsi="Times New Roman" w:cs="Times New Roman"/>
          <w:b/>
          <w:bCs/>
          <w:sz w:val="28"/>
          <w:szCs w:val="28"/>
        </w:rPr>
      </w:pPr>
      <w:r>
        <w:rPr>
          <w:rFonts w:ascii="Times New Roman" w:eastAsia="Times New Roman" w:hAnsi="Times New Roman" w:cs="Times New Roman"/>
          <w:b/>
          <w:bCs/>
          <w:sz w:val="28"/>
          <w:szCs w:val="28"/>
        </w:rPr>
        <w:t>проведения Министерством транспорта и дорожного хозяйства Новосибирской области профилактики рисков причинения вреда (ущерба) охраняемым законом ценностям при осуществлении федерального государственного контроля (надзора) за соблюдением правил технической эксплуатации внеуличного транспорта и правил пользования внеуличным транспортом на территории</w:t>
      </w:r>
    </w:p>
    <w:p w:rsidR="00984CE9" w:rsidRDefault="001D0C24">
      <w:pPr>
        <w:spacing w:after="0" w:line="240" w:lineRule="auto"/>
        <w:jc w:val="center"/>
        <w:rPr>
          <w:rFonts w:ascii="Times New Roman" w:hAnsi="Times New Roman" w:cs="Times New Roman"/>
          <w:b/>
          <w:bCs/>
          <w:sz w:val="28"/>
          <w:szCs w:val="28"/>
        </w:rPr>
      </w:pPr>
      <w:r>
        <w:rPr>
          <w:rFonts w:ascii="Times New Roman" w:eastAsia="Times New Roman" w:hAnsi="Times New Roman" w:cs="Times New Roman"/>
          <w:b/>
          <w:bCs/>
          <w:sz w:val="28"/>
          <w:szCs w:val="28"/>
        </w:rPr>
        <w:t>Новосибирской области на 2025 год</w:t>
      </w:r>
    </w:p>
    <w:p w:rsidR="00984CE9" w:rsidRDefault="00984CE9">
      <w:pPr>
        <w:spacing w:after="0" w:line="240" w:lineRule="auto"/>
        <w:jc w:val="center"/>
        <w:rPr>
          <w:rFonts w:ascii="Times New Roman" w:hAnsi="Times New Roman" w:cs="Times New Roman"/>
          <w:b/>
          <w:bCs/>
          <w:sz w:val="28"/>
          <w:szCs w:val="28"/>
        </w:rPr>
      </w:pPr>
    </w:p>
    <w:p w:rsidR="00984CE9" w:rsidRPr="00CF2CD0" w:rsidRDefault="00984CE9">
      <w:pPr>
        <w:spacing w:after="0" w:line="240" w:lineRule="auto"/>
        <w:ind w:left="1276"/>
        <w:jc w:val="center"/>
        <w:rPr>
          <w:rFonts w:ascii="Times New Roman" w:hAnsi="Times New Roman" w:cs="Times New Roman"/>
          <w:b/>
          <w:bCs/>
          <w:sz w:val="28"/>
          <w:szCs w:val="28"/>
        </w:rPr>
      </w:pPr>
    </w:p>
    <w:p w:rsidR="00984CE9" w:rsidRPr="00CF2CD0" w:rsidRDefault="001D0C24">
      <w:pPr>
        <w:spacing w:after="0" w:line="240" w:lineRule="auto"/>
        <w:ind w:firstLine="709"/>
        <w:jc w:val="both"/>
        <w:rPr>
          <w:rFonts w:ascii="Times New Roman" w:eastAsia="Times New Roman" w:hAnsi="Times New Roman" w:cs="Times New Roman"/>
          <w:sz w:val="28"/>
          <w:szCs w:val="28"/>
        </w:rPr>
      </w:pPr>
      <w:r w:rsidRPr="00CF2CD0">
        <w:rPr>
          <w:rFonts w:ascii="Times New Roman" w:eastAsia="Times New Roman" w:hAnsi="Times New Roman" w:cs="Times New Roman"/>
          <w:sz w:val="28"/>
          <w:szCs w:val="28"/>
        </w:rPr>
        <w:t>Программа проведения Министерством транспорта и дорожного хозяйства Новосибирской области (далее – Министерство) профилактики рисков причинения вреда (ущерба) охраняемым законом ценностям при осуществлении федерального государственного контроля (надзора) за соблюдением правил технической эксплуатации внеуличного транспорта и правил пользования внеуличным транспортом на территории Новосибирской области на 2025 год (далее – программа профилактики) разработана в соответствии с Правилами разработки и утверждения контрольными (надзорными) органами программы профилактики рисков причинения вреда (ущерба) охраняемым законом ценностям, утверждёнными постановлением Правительства Российской Федерации от 25.06.2021 года № 990.</w:t>
      </w:r>
    </w:p>
    <w:p w:rsidR="00984CE9" w:rsidRPr="00CF2CD0" w:rsidRDefault="00984CE9">
      <w:pPr>
        <w:spacing w:after="0" w:line="240" w:lineRule="auto"/>
        <w:ind w:firstLine="709"/>
        <w:jc w:val="both"/>
        <w:rPr>
          <w:rFonts w:ascii="Times New Roman" w:eastAsia="Times New Roman" w:hAnsi="Times New Roman" w:cs="Times New Roman"/>
          <w:sz w:val="28"/>
          <w:szCs w:val="28"/>
        </w:rPr>
      </w:pPr>
    </w:p>
    <w:p w:rsidR="00984CE9" w:rsidRPr="00CF2CD0" w:rsidRDefault="001D0C24">
      <w:pPr>
        <w:spacing w:after="0" w:line="240" w:lineRule="auto"/>
        <w:jc w:val="center"/>
        <w:rPr>
          <w:rFonts w:ascii="Times New Roman" w:hAnsi="Times New Roman" w:cs="Times New Roman"/>
          <w:b/>
          <w:bCs/>
          <w:sz w:val="28"/>
          <w:szCs w:val="28"/>
        </w:rPr>
      </w:pPr>
      <w:r w:rsidRPr="00CF2CD0">
        <w:rPr>
          <w:rFonts w:ascii="Times New Roman" w:eastAsia="Times New Roman" w:hAnsi="Times New Roman" w:cs="Times New Roman"/>
          <w:b/>
          <w:bCs/>
          <w:sz w:val="28"/>
          <w:szCs w:val="28"/>
        </w:rPr>
        <w:t>Раздел 1.</w:t>
      </w:r>
      <w:r w:rsidRPr="00CF2CD0">
        <w:rPr>
          <w:rFonts w:ascii="Times New Roman" w:eastAsia="Times New Roman" w:hAnsi="Times New Roman" w:cs="Times New Roman"/>
          <w:b/>
          <w:bCs/>
          <w:sz w:val="28"/>
          <w:szCs w:val="28"/>
          <w:lang w:val="en-US"/>
        </w:rPr>
        <w:t> </w:t>
      </w:r>
      <w:r w:rsidRPr="00CF2CD0">
        <w:rPr>
          <w:rFonts w:ascii="Times New Roman" w:eastAsia="Times New Roman" w:hAnsi="Times New Roman" w:cs="Times New Roman"/>
          <w:b/>
          <w:bCs/>
          <w:sz w:val="28"/>
          <w:szCs w:val="28"/>
        </w:rPr>
        <w:t>Анализ текущего состояния осуществления вида контроля, описание текущего развития профилактической деятельности контрольного (надзорного) органа, характеристика проблем, на решение которого направлена программа профилактики</w:t>
      </w:r>
    </w:p>
    <w:p w:rsidR="00984CE9" w:rsidRPr="00CF2CD0" w:rsidRDefault="00984CE9">
      <w:pPr>
        <w:spacing w:after="0" w:line="240" w:lineRule="auto"/>
        <w:ind w:left="2268"/>
        <w:jc w:val="center"/>
        <w:rPr>
          <w:rFonts w:ascii="Times New Roman" w:hAnsi="Times New Roman" w:cs="Times New Roman"/>
          <w:b/>
          <w:bCs/>
          <w:sz w:val="28"/>
          <w:szCs w:val="28"/>
        </w:rPr>
      </w:pP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xml:space="preserve">На основании статьи 6 Федерального закона от 29 декабря 2017 года № 442-ФЗ «О внеуличном транспорте и о внесении изменений в отдельные законодательные акты Российской Федерации», постановления Правительства Новосибирской области от 19.10.2015 № 382-п «Об утверждении Положения о министерстве транспорта и дорожного хозяйства Новосибирской области» Министерство определено исполнительным органом государственной власти Новосибирской области, уполномоченным на осуществление полномочий Российской Федерации по федеральному государственному контролю (надзору) за </w:t>
      </w:r>
      <w:r w:rsidRPr="00CF2CD0">
        <w:rPr>
          <w:rFonts w:ascii="Times New Roman" w:hAnsi="Times New Roman" w:cs="Times New Roman"/>
          <w:sz w:val="28"/>
          <w:szCs w:val="28"/>
        </w:rPr>
        <w:lastRenderedPageBreak/>
        <w:t>соблюдением правил технической эксплуатации внеуличного транспорта  и правил пользования внеуличным транспортом (далее – федеральный государственный контроль (надзор)) на территории Новосибирской области.</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Предметом федерального государственного контроля (надзора) является оценка соблюдения юридическим лицом или индивидуальным предпринимателем, осуществляющими эксплуатацию подвижного состава внеуличного транспорта и объектов инфраструктуры внеуличного транспорта, обязательных требований, предусмотренных правилами технической эксплуатации внеуличного транспорта и правилами пользования внеуличным транспортом.</w:t>
      </w:r>
    </w:p>
    <w:p w:rsidR="00984CE9" w:rsidRPr="00CF2CD0" w:rsidRDefault="001D0C24">
      <w:pPr>
        <w:tabs>
          <w:tab w:val="left" w:pos="3686"/>
        </w:tabs>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Контролируемыми лицами при осуществлении федерального государственного контроля (надзора) являются юридические лица и индивидуальные предприниматели, осуществляющие эксплуатацию подвижного состава внеуличного транспорта и объектов инфраструктуры внеуличного транспорта на территории Новосибирской области.</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В настоящее время указанный вид деятельности осуществляет один субъект – Муниципальное унитарное предприятие города Новосибирска «Новосибирский метрополитен» (далее - МУП «Новосибирский метрополитен», контролируемое лицо).</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Обязательные требования, оценка соблюдения которых является предметом федерального государственного контроля (надзора) установлены:</w:t>
      </w:r>
    </w:p>
    <w:p w:rsidR="00984CE9" w:rsidRPr="00CF2CD0" w:rsidRDefault="001D0C24">
      <w:pPr>
        <w:pStyle w:val="af4"/>
        <w:numPr>
          <w:ilvl w:val="0"/>
          <w:numId w:val="6"/>
        </w:numPr>
        <w:spacing w:after="0" w:line="240" w:lineRule="auto"/>
        <w:ind w:left="0" w:firstLine="709"/>
        <w:jc w:val="both"/>
        <w:rPr>
          <w:rFonts w:ascii="Times New Roman" w:hAnsi="Times New Roman" w:cs="Times New Roman"/>
          <w:sz w:val="28"/>
          <w:szCs w:val="28"/>
        </w:rPr>
      </w:pPr>
      <w:r w:rsidRPr="00CF2CD0">
        <w:rPr>
          <w:rFonts w:ascii="Times New Roman" w:hAnsi="Times New Roman" w:cs="Times New Roman"/>
          <w:sz w:val="28"/>
          <w:szCs w:val="28"/>
        </w:rPr>
        <w:t>приказом Минтранса России от 26.10.2018 № 386 «Об утверждении Типовых правил пользования метрополитеном»;</w:t>
      </w:r>
    </w:p>
    <w:p w:rsidR="00984CE9" w:rsidRPr="00CF2CD0" w:rsidRDefault="001D0C24">
      <w:pPr>
        <w:pStyle w:val="af4"/>
        <w:numPr>
          <w:ilvl w:val="0"/>
          <w:numId w:val="6"/>
        </w:numPr>
        <w:spacing w:after="0" w:line="240" w:lineRule="auto"/>
        <w:ind w:left="0" w:firstLine="709"/>
        <w:jc w:val="both"/>
        <w:rPr>
          <w:rFonts w:ascii="Times New Roman" w:hAnsi="Times New Roman" w:cs="Times New Roman"/>
          <w:sz w:val="28"/>
          <w:szCs w:val="28"/>
        </w:rPr>
      </w:pPr>
      <w:r w:rsidRPr="00CF2CD0">
        <w:rPr>
          <w:rFonts w:ascii="Times New Roman" w:hAnsi="Times New Roman" w:cs="Times New Roman"/>
          <w:sz w:val="28"/>
          <w:szCs w:val="28"/>
        </w:rPr>
        <w:t>приказом Минтранса России от 21.12.2018 № 468 «Об утверждении Типовых правил технической эксплуатации метрополитена»;</w:t>
      </w:r>
    </w:p>
    <w:p w:rsidR="00984CE9" w:rsidRPr="00CF2CD0" w:rsidRDefault="001D0C24">
      <w:pPr>
        <w:pStyle w:val="af4"/>
        <w:numPr>
          <w:ilvl w:val="0"/>
          <w:numId w:val="6"/>
        </w:numPr>
        <w:spacing w:after="0" w:line="240" w:lineRule="auto"/>
        <w:ind w:left="0" w:firstLine="709"/>
        <w:jc w:val="both"/>
        <w:rPr>
          <w:rFonts w:ascii="Times New Roman" w:hAnsi="Times New Roman" w:cs="Times New Roman"/>
          <w:sz w:val="28"/>
          <w:szCs w:val="28"/>
        </w:rPr>
      </w:pPr>
      <w:r w:rsidRPr="00CF2CD0">
        <w:rPr>
          <w:rFonts w:ascii="Times New Roman" w:hAnsi="Times New Roman" w:cs="Times New Roman"/>
          <w:sz w:val="28"/>
          <w:szCs w:val="28"/>
        </w:rPr>
        <w:t>постановлением Правительства Новосибирской области от 17.09.2019 № 347-п «Об утверждении Правил пользования Новосибирским метрополитеном»;</w:t>
      </w:r>
    </w:p>
    <w:p w:rsidR="00984CE9" w:rsidRPr="00CF2CD0" w:rsidRDefault="001D0C24">
      <w:pPr>
        <w:pStyle w:val="af4"/>
        <w:numPr>
          <w:ilvl w:val="0"/>
          <w:numId w:val="6"/>
        </w:numPr>
        <w:spacing w:after="0" w:line="240" w:lineRule="auto"/>
        <w:ind w:left="0" w:firstLine="709"/>
        <w:jc w:val="both"/>
        <w:rPr>
          <w:rFonts w:ascii="Times New Roman" w:hAnsi="Times New Roman" w:cs="Times New Roman"/>
          <w:sz w:val="28"/>
          <w:szCs w:val="28"/>
        </w:rPr>
      </w:pPr>
      <w:r w:rsidRPr="00CF2CD0">
        <w:rPr>
          <w:rFonts w:ascii="Times New Roman" w:hAnsi="Times New Roman" w:cs="Times New Roman"/>
          <w:sz w:val="28"/>
          <w:szCs w:val="28"/>
        </w:rPr>
        <w:t>постановлением Правительства Новосибирской области от 28.10.2019 № 417-п «Об утверждении Правил технической эксплуатации Новосибирского метрополитена».</w:t>
      </w:r>
    </w:p>
    <w:p w:rsidR="00984CE9" w:rsidRPr="00CF2CD0" w:rsidRDefault="001D0C24">
      <w:pPr>
        <w:spacing w:after="0" w:line="240" w:lineRule="auto"/>
        <w:ind w:left="709" w:firstLine="1"/>
        <w:jc w:val="both"/>
        <w:rPr>
          <w:rFonts w:ascii="Times New Roman" w:hAnsi="Times New Roman" w:cs="Times New Roman"/>
          <w:sz w:val="28"/>
          <w:szCs w:val="28"/>
        </w:rPr>
      </w:pPr>
      <w:r w:rsidRPr="00CF2CD0">
        <w:rPr>
          <w:rFonts w:ascii="Times New Roman" w:hAnsi="Times New Roman" w:cs="Times New Roman"/>
          <w:sz w:val="28"/>
          <w:szCs w:val="28"/>
        </w:rPr>
        <w:t>Объектами федерального государственного контроля (надзора) являются:</w:t>
      </w:r>
    </w:p>
    <w:p w:rsidR="00984CE9" w:rsidRPr="00CF2CD0" w:rsidRDefault="001D0C24">
      <w:pPr>
        <w:spacing w:after="0" w:line="240" w:lineRule="auto"/>
        <w:ind w:left="710"/>
        <w:jc w:val="both"/>
        <w:rPr>
          <w:rFonts w:ascii="Times New Roman" w:hAnsi="Times New Roman" w:cs="Times New Roman"/>
          <w:sz w:val="28"/>
          <w:szCs w:val="28"/>
        </w:rPr>
      </w:pPr>
      <w:r w:rsidRPr="00CF2CD0">
        <w:rPr>
          <w:rFonts w:ascii="Times New Roman" w:hAnsi="Times New Roman" w:cs="Times New Roman"/>
          <w:sz w:val="28"/>
          <w:szCs w:val="28"/>
        </w:rPr>
        <w:t>- деятельность по эксплуатации метрополитена;</w:t>
      </w:r>
    </w:p>
    <w:p w:rsidR="00984CE9" w:rsidRPr="00CF2CD0" w:rsidRDefault="001D0C24">
      <w:pPr>
        <w:spacing w:after="0" w:line="240" w:lineRule="auto"/>
        <w:ind w:left="710"/>
        <w:jc w:val="both"/>
        <w:rPr>
          <w:rFonts w:ascii="Times New Roman" w:hAnsi="Times New Roman" w:cs="Times New Roman"/>
          <w:sz w:val="28"/>
          <w:szCs w:val="28"/>
        </w:rPr>
      </w:pPr>
      <w:r w:rsidRPr="00CF2CD0">
        <w:rPr>
          <w:rFonts w:ascii="Times New Roman" w:hAnsi="Times New Roman" w:cs="Times New Roman"/>
          <w:sz w:val="28"/>
          <w:szCs w:val="28"/>
        </w:rPr>
        <w:t>- подвижной состав метрополитена;</w:t>
      </w:r>
    </w:p>
    <w:p w:rsidR="00984CE9" w:rsidRPr="00CF2CD0" w:rsidRDefault="001D0C24">
      <w:pPr>
        <w:spacing w:after="0" w:line="240" w:lineRule="auto"/>
        <w:ind w:left="710"/>
        <w:jc w:val="both"/>
        <w:rPr>
          <w:rFonts w:ascii="Times New Roman" w:hAnsi="Times New Roman" w:cs="Times New Roman"/>
          <w:sz w:val="28"/>
          <w:szCs w:val="28"/>
        </w:rPr>
      </w:pPr>
      <w:r w:rsidRPr="00CF2CD0">
        <w:rPr>
          <w:rFonts w:ascii="Times New Roman" w:hAnsi="Times New Roman" w:cs="Times New Roman"/>
          <w:sz w:val="28"/>
          <w:szCs w:val="28"/>
        </w:rPr>
        <w:t>- объекты инфраструктуры метрополитена.</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С учётом тяжести потенциальных негативных последствий возможного несоблюдения контролируемым лицом обязательных требований (группа тяжести) и оценка вероятности несоблюдения контролируемым лицом обязательных требований (группа вероятности) объекты федерального государственного контроля (надзора) в соответствии с пунктом 21 Положения о федеральном государственном контроле (надзоре) за соблюдением правил технической эксплуатации внеуличного транспорта и правил пользования внеуличным транспортом, утвержденного постановлением Правительства Российской Федерации от 25.06.2021 № 1003 (далее – Положение), объекты контроля приказом Министерства от 13.12.2021 № 435 отнесены к категории низкого риска. Плановые контрольные (надзорные) мероприятия в отношении объектов контроля, отнесенных к категории низкого риска, не проводятся (пункт 22 Положения).</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lastRenderedPageBreak/>
        <w:t>На официальном сайте Министерства в информационно-телекоммуникационной сети «Интернет» систематически наполняется необходимой информацией раздел, посвященный федеральному государственному контролю (надзору) (https://mintrans.nso.ru/page/3190). В указанном разделе размещен перечень правовых актов, соблюдение которых оценивается при осуществлении федерального государственного контроля, тексты данных правовых актов, руководство по соблюдению обязательных требований, оценка соблюдения которых является предметом федерального государственного контроля (надзора), перечень документов, предоставление которых гражданином, организацией необходимо для оценки соблюдения обязательных требований, а также другая информация для контролируемых лиц.</w:t>
      </w:r>
    </w:p>
    <w:p w:rsidR="00984CE9" w:rsidRPr="00CF2CD0" w:rsidRDefault="00984CE9">
      <w:pPr>
        <w:spacing w:after="0" w:line="240" w:lineRule="auto"/>
        <w:ind w:firstLine="709"/>
        <w:jc w:val="both"/>
        <w:rPr>
          <w:rFonts w:ascii="Times New Roman" w:hAnsi="Times New Roman" w:cs="Times New Roman"/>
          <w:sz w:val="28"/>
          <w:szCs w:val="28"/>
        </w:rPr>
      </w:pPr>
    </w:p>
    <w:p w:rsidR="00984CE9" w:rsidRPr="00CF2CD0" w:rsidRDefault="001D0C24">
      <w:pPr>
        <w:spacing w:after="0" w:line="240" w:lineRule="auto"/>
        <w:jc w:val="center"/>
        <w:rPr>
          <w:rFonts w:ascii="Times New Roman" w:hAnsi="Times New Roman" w:cs="Times New Roman"/>
          <w:b/>
          <w:bCs/>
          <w:sz w:val="28"/>
          <w:szCs w:val="28"/>
        </w:rPr>
      </w:pPr>
      <w:r w:rsidRPr="00CF2CD0">
        <w:rPr>
          <w:rFonts w:ascii="Times New Roman" w:hAnsi="Times New Roman" w:cs="Times New Roman"/>
          <w:b/>
          <w:bCs/>
          <w:sz w:val="28"/>
          <w:szCs w:val="28"/>
        </w:rPr>
        <w:t xml:space="preserve"> Раздел 2.</w:t>
      </w:r>
      <w:r w:rsidRPr="00CF2CD0">
        <w:rPr>
          <w:rFonts w:ascii="Times New Roman" w:hAnsi="Times New Roman" w:cs="Times New Roman"/>
          <w:b/>
          <w:bCs/>
          <w:sz w:val="28"/>
          <w:szCs w:val="28"/>
          <w:lang w:val="en-US"/>
        </w:rPr>
        <w:t> </w:t>
      </w:r>
      <w:r w:rsidRPr="00CF2CD0">
        <w:rPr>
          <w:rFonts w:ascii="Times New Roman" w:hAnsi="Times New Roman" w:cs="Times New Roman"/>
          <w:b/>
          <w:bCs/>
          <w:sz w:val="28"/>
          <w:szCs w:val="28"/>
        </w:rPr>
        <w:t>Цели и задачи реализации программы профилактики</w:t>
      </w:r>
    </w:p>
    <w:p w:rsidR="00984CE9" w:rsidRPr="00CF2CD0" w:rsidRDefault="00984CE9">
      <w:pPr>
        <w:spacing w:after="0" w:line="240" w:lineRule="auto"/>
        <w:ind w:left="2268"/>
        <w:jc w:val="both"/>
        <w:rPr>
          <w:rFonts w:ascii="Times New Roman" w:hAnsi="Times New Roman" w:cs="Times New Roman"/>
          <w:b/>
          <w:bCs/>
          <w:sz w:val="28"/>
          <w:szCs w:val="28"/>
        </w:rPr>
      </w:pP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Определенная настоящей программой профилактики система мер направлена на повышение уровня информированности контролируемого лица по вопросам соблюдения обязательных требований, формирование ответственного отношения к обеспечению соблюдения обязательных требований.</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xml:space="preserve">Целями реализации программы профилактики является: </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1)</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предупреждение нарушений контролируемым лицом обязательных требований (снижение числа нарушений обязательных требований);</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2)</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предотвращение причинения вреда либо угрозы причинения вреда охраняемым законом ценностям вследствие нарушений обязательных требований;</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3)</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повышение прозрачности деятельности министерства при осуществлении федерального государственного контроля (надзора);</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4)</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создание инфраструктуры профилактики рисков причинения вреда охраняемым законом ценностям.</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Для достижения поставленных целей Программы профилактики необходимо решение следующих задач:</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1)</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 xml:space="preserve">выявление причин, факторов и условий, способствующих возможному нарушению обязательных требований; </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2)</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 xml:space="preserve">устранение причин, факторов и условий, способствующих возможному нарушению обязательных требований; </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3)</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формирование единого понимания обязательных требований у всех участников отношений в области федерального государственного контроля (надзора), в том числе путем разъяснения контролируемому лицу обязательных требований;</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4)</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оценка состояния подконтрольной среды;</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5)</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проведение профилактических мероприятий с учетом данных состояния подконтрольной среды;</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6)</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сбор и анализ статистических данных, необходимых для организации профилактической работы, в том числе для определения видов, форм и интенсивности профилактических мероприятий;</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7)</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 xml:space="preserve">создание системы взаимодействия между контролируемыми лицами и Министерством, обеспечивающей наиболее полное информирование </w:t>
      </w:r>
      <w:r w:rsidRPr="00CF2CD0">
        <w:rPr>
          <w:rFonts w:ascii="Times New Roman" w:hAnsi="Times New Roman" w:cs="Times New Roman"/>
          <w:sz w:val="28"/>
          <w:szCs w:val="28"/>
        </w:rPr>
        <w:lastRenderedPageBreak/>
        <w:t xml:space="preserve">контролируемых лиц по вопросам соблюдения обязательных требований и проводимой Министерством профилактической работы; </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8)</w:t>
      </w:r>
      <w:r w:rsidRPr="00CF2CD0">
        <w:rPr>
          <w:rFonts w:ascii="Times New Roman" w:hAnsi="Times New Roman" w:cs="Times New Roman"/>
          <w:sz w:val="28"/>
          <w:szCs w:val="28"/>
          <w:lang w:val="en-US"/>
        </w:rPr>
        <w:t> </w:t>
      </w:r>
      <w:r w:rsidRPr="00CF2CD0">
        <w:rPr>
          <w:rFonts w:ascii="Times New Roman" w:hAnsi="Times New Roman" w:cs="Times New Roman"/>
          <w:sz w:val="28"/>
          <w:szCs w:val="28"/>
        </w:rPr>
        <w:t>автоматизация системы профилактики.</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Ожидаемые конечные результаты реализации программы:</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снижение рисков причинения вреда охраняемым законом ценностям;</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развитие системы профилактических мероприятий;</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внедрение различных способов профилактики;</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разработка и внедрение технологий профилактической работы;</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повышение прозрачности контрольно-надзорной деятельности;</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 уменьшение административной нагрузки на контролируемых лиц.</w:t>
      </w:r>
    </w:p>
    <w:p w:rsidR="00984CE9" w:rsidRPr="00CF2CD0" w:rsidRDefault="00984CE9">
      <w:pPr>
        <w:spacing w:after="0" w:line="240" w:lineRule="auto"/>
        <w:ind w:firstLine="709"/>
        <w:jc w:val="both"/>
        <w:rPr>
          <w:rFonts w:ascii="Times New Roman" w:hAnsi="Times New Roman" w:cs="Times New Roman"/>
          <w:sz w:val="28"/>
          <w:szCs w:val="28"/>
        </w:rPr>
      </w:pPr>
    </w:p>
    <w:p w:rsidR="00984CE9" w:rsidRPr="00CF2CD0" w:rsidRDefault="001D0C24">
      <w:pPr>
        <w:spacing w:after="0" w:line="240" w:lineRule="auto"/>
        <w:jc w:val="center"/>
        <w:rPr>
          <w:rFonts w:ascii="Times New Roman" w:hAnsi="Times New Roman" w:cs="Times New Roman"/>
          <w:b/>
          <w:bCs/>
          <w:sz w:val="28"/>
          <w:szCs w:val="28"/>
        </w:rPr>
      </w:pPr>
      <w:r w:rsidRPr="00CF2CD0">
        <w:rPr>
          <w:rFonts w:ascii="Times New Roman" w:hAnsi="Times New Roman" w:cs="Times New Roman"/>
          <w:b/>
          <w:bCs/>
          <w:sz w:val="28"/>
          <w:szCs w:val="28"/>
        </w:rPr>
        <w:t xml:space="preserve"> Раздел 3. Перечень профилактических мероприятий, </w:t>
      </w:r>
    </w:p>
    <w:p w:rsidR="00984CE9" w:rsidRPr="00CF2CD0" w:rsidRDefault="001D0C24">
      <w:pPr>
        <w:spacing w:after="0" w:line="240" w:lineRule="auto"/>
        <w:jc w:val="center"/>
        <w:rPr>
          <w:rFonts w:ascii="Times New Roman" w:hAnsi="Times New Roman" w:cs="Times New Roman"/>
          <w:b/>
          <w:bCs/>
          <w:sz w:val="28"/>
          <w:szCs w:val="28"/>
        </w:rPr>
      </w:pPr>
      <w:r w:rsidRPr="00CF2CD0">
        <w:rPr>
          <w:rFonts w:ascii="Times New Roman" w:hAnsi="Times New Roman" w:cs="Times New Roman"/>
          <w:b/>
          <w:bCs/>
          <w:sz w:val="28"/>
          <w:szCs w:val="28"/>
        </w:rPr>
        <w:t>сроки(периодичность) их проведения</w:t>
      </w:r>
    </w:p>
    <w:p w:rsidR="00984CE9" w:rsidRPr="00CF2CD0" w:rsidRDefault="00984CE9">
      <w:pPr>
        <w:spacing w:after="0" w:line="240" w:lineRule="auto"/>
        <w:jc w:val="center"/>
        <w:rPr>
          <w:rFonts w:ascii="Times New Roman" w:hAnsi="Times New Roman" w:cs="Times New Roman"/>
          <w:b/>
          <w:bCs/>
          <w:sz w:val="28"/>
          <w:szCs w:val="28"/>
        </w:rPr>
      </w:pP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В соответствии с пунктом 23 Положения о федеральном государственном контроле (надзоре), при осуществлении федерального государственного контроля (надзора) проводятся следующие профилактические мероприятия:</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а) информирование;</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б) обобщение правоприменительной практики;</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в) объявление предостережения;</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г) консультирование;</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д) обязательный профилактический визит.</w:t>
      </w:r>
    </w:p>
    <w:p w:rsidR="00984CE9" w:rsidRPr="00CF2CD0" w:rsidRDefault="00984CE9">
      <w:pPr>
        <w:spacing w:after="0" w:line="240" w:lineRule="auto"/>
        <w:ind w:firstLine="709"/>
        <w:jc w:val="both"/>
        <w:rPr>
          <w:rFonts w:ascii="Times New Roman" w:hAnsi="Times New Roman" w:cs="Times New Roman"/>
          <w:sz w:val="28"/>
          <w:szCs w:val="28"/>
        </w:rPr>
      </w:pPr>
    </w:p>
    <w:tbl>
      <w:tblPr>
        <w:tblStyle w:val="af5"/>
        <w:tblW w:w="11199" w:type="dxa"/>
        <w:tblInd w:w="-998" w:type="dxa"/>
        <w:tblLayout w:type="fixed"/>
        <w:tblLook w:val="04A0" w:firstRow="1" w:lastRow="0" w:firstColumn="1" w:lastColumn="0" w:noHBand="0" w:noVBand="1"/>
      </w:tblPr>
      <w:tblGrid>
        <w:gridCol w:w="567"/>
        <w:gridCol w:w="2553"/>
        <w:gridCol w:w="3685"/>
        <w:gridCol w:w="1843"/>
        <w:gridCol w:w="2551"/>
      </w:tblGrid>
      <w:tr w:rsidR="00984CE9" w:rsidRPr="00CF2CD0">
        <w:tc>
          <w:tcPr>
            <w:tcW w:w="567"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w:t>
            </w:r>
          </w:p>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п/п</w:t>
            </w:r>
          </w:p>
        </w:tc>
        <w:tc>
          <w:tcPr>
            <w:tcW w:w="255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Наименование профилактического мероприятия</w:t>
            </w:r>
          </w:p>
        </w:tc>
        <w:tc>
          <w:tcPr>
            <w:tcW w:w="3685"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Сведения о мероприятии</w:t>
            </w:r>
          </w:p>
        </w:tc>
        <w:tc>
          <w:tcPr>
            <w:tcW w:w="184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Срок (периодичность)</w:t>
            </w:r>
          </w:p>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 xml:space="preserve"> проведения</w:t>
            </w:r>
          </w:p>
          <w:p w:rsidR="00984CE9" w:rsidRPr="00CF2CD0" w:rsidRDefault="00984CE9">
            <w:pPr>
              <w:rPr>
                <w:rFonts w:ascii="Times New Roman" w:hAnsi="Times New Roman" w:cs="Times New Roman"/>
                <w:sz w:val="24"/>
                <w:szCs w:val="24"/>
              </w:rPr>
            </w:pPr>
          </w:p>
        </w:tc>
        <w:tc>
          <w:tcPr>
            <w:tcW w:w="2551"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Ответственное подразделение</w:t>
            </w:r>
          </w:p>
        </w:tc>
      </w:tr>
      <w:tr w:rsidR="00984CE9" w:rsidRPr="00CF2CD0">
        <w:trPr>
          <w:trHeight w:val="3038"/>
        </w:trPr>
        <w:tc>
          <w:tcPr>
            <w:tcW w:w="567"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1</w:t>
            </w:r>
          </w:p>
        </w:tc>
        <w:tc>
          <w:tcPr>
            <w:tcW w:w="255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Информирование</w:t>
            </w:r>
          </w:p>
        </w:tc>
        <w:tc>
          <w:tcPr>
            <w:tcW w:w="3685" w:type="dxa"/>
          </w:tcPr>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Размещение на официальном сайте Министерства в сети «Интернет», в иных информационных системах и поддержание в актуальном</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состоянии: </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1) текстов нормативных правовых актов, регулирующих осуществление государственного контроля (надзора);</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2) перечня нормативных правовых актов с указанием перечней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информации о мерах ответственности, применяемых </w:t>
            </w:r>
            <w:r w:rsidRPr="00CF2CD0">
              <w:rPr>
                <w:rFonts w:ascii="Times New Roman" w:hAnsi="Times New Roman" w:cs="Times New Roman"/>
                <w:sz w:val="24"/>
                <w:szCs w:val="24"/>
              </w:rPr>
              <w:lastRenderedPageBreak/>
              <w:t>при нарушении обязательных требований, с текстами в действующей редакции;</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3) утвержденных проверочных листов;</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4) руководство по соблюдению обязательных требований;</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5) перечня индикаторов риска нарушения обязательных требований;</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 6) перечня объектов контроля с указанием категории риска;</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7) программы профилактики рисков причинения вреда;</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8) плана проведения плановых контрольных (надзорных) мероприятий (при наличии);</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9) исчерпывающего перечня сведений, которые могут запрашиваться у контролируемого лица;</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10) сведений и способах получения консультаций по вопросам соблюдения обязательных требований;</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11) сведений о порядке досудебного обжалования решений контрольного (надзорного) органа, действий (бездействия) его должностных лиц;</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12) доклада, содержащих результаты обобщения правоприменительной практики;</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13) доклада о государственном контроле (надзоре);</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14) иные сведения, предусмотренные нормативными правовыми актами Российской Федерации, нормативными правовыми актами субъектов Российской Федерации. </w:t>
            </w:r>
          </w:p>
          <w:p w:rsidR="00984CE9" w:rsidRPr="00CF2CD0" w:rsidRDefault="00984CE9">
            <w:pPr>
              <w:jc w:val="both"/>
              <w:rPr>
                <w:rFonts w:ascii="Times New Roman" w:hAnsi="Times New Roman" w:cs="Times New Roman"/>
                <w:sz w:val="24"/>
                <w:szCs w:val="24"/>
              </w:rPr>
            </w:pPr>
          </w:p>
        </w:tc>
        <w:tc>
          <w:tcPr>
            <w:tcW w:w="184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lastRenderedPageBreak/>
              <w:t>по мере необходимости</w:t>
            </w:r>
          </w:p>
        </w:tc>
        <w:tc>
          <w:tcPr>
            <w:tcW w:w="2551"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Отдел развития транспорта и инфраструктуры</w:t>
            </w:r>
          </w:p>
        </w:tc>
      </w:tr>
      <w:tr w:rsidR="00984CE9" w:rsidRPr="00CF2CD0">
        <w:tc>
          <w:tcPr>
            <w:tcW w:w="567"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lastRenderedPageBreak/>
              <w:t>2</w:t>
            </w:r>
          </w:p>
        </w:tc>
        <w:tc>
          <w:tcPr>
            <w:tcW w:w="2553" w:type="dxa"/>
          </w:tcPr>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Обобщение                            правоприменительной практики </w:t>
            </w:r>
          </w:p>
        </w:tc>
        <w:tc>
          <w:tcPr>
            <w:tcW w:w="3685" w:type="dxa"/>
          </w:tcPr>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Утверждение приказом Министерства доклада о правоприменительной практике не позднее 30 августа года, следующего за отчетным и его размещение на официальном сайте Министерства в сети «Интернет» в трехдневный срок </w:t>
            </w:r>
            <w:r w:rsidRPr="00CF2CD0">
              <w:rPr>
                <w:rFonts w:ascii="Times New Roman" w:hAnsi="Times New Roman" w:cs="Times New Roman"/>
                <w:sz w:val="24"/>
                <w:szCs w:val="24"/>
              </w:rPr>
              <w:lastRenderedPageBreak/>
              <w:t>со дня                                 утверждения.</w:t>
            </w:r>
          </w:p>
        </w:tc>
        <w:tc>
          <w:tcPr>
            <w:tcW w:w="184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lastRenderedPageBreak/>
              <w:t>1 раз в год</w:t>
            </w:r>
          </w:p>
        </w:tc>
        <w:tc>
          <w:tcPr>
            <w:tcW w:w="2551"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Отдел развития транспорта и инфраструктуры</w:t>
            </w:r>
          </w:p>
        </w:tc>
      </w:tr>
      <w:tr w:rsidR="00984CE9" w:rsidRPr="00CF2CD0">
        <w:tc>
          <w:tcPr>
            <w:tcW w:w="567"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lastRenderedPageBreak/>
              <w:t>3</w:t>
            </w:r>
          </w:p>
        </w:tc>
        <w:tc>
          <w:tcPr>
            <w:tcW w:w="255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Объявление предостережения</w:t>
            </w:r>
          </w:p>
        </w:tc>
        <w:tc>
          <w:tcPr>
            <w:tcW w:w="3685" w:type="dxa"/>
          </w:tcPr>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Наличие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Предостережение контролируемого лица о недопустимости нарушения обязательных требований и предложение принять меры по обеспечение соблюдения обязательных требований.  </w:t>
            </w:r>
          </w:p>
        </w:tc>
        <w:tc>
          <w:tcPr>
            <w:tcW w:w="184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При наличии соответствующих сведений</w:t>
            </w:r>
          </w:p>
        </w:tc>
        <w:tc>
          <w:tcPr>
            <w:tcW w:w="2551"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Отдел развития транспорта и инфраструктуры</w:t>
            </w:r>
          </w:p>
        </w:tc>
      </w:tr>
      <w:tr w:rsidR="00984CE9" w:rsidRPr="00CF2CD0">
        <w:tc>
          <w:tcPr>
            <w:tcW w:w="567"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5</w:t>
            </w:r>
          </w:p>
        </w:tc>
        <w:tc>
          <w:tcPr>
            <w:tcW w:w="255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Обязательный профилактический визит</w:t>
            </w:r>
          </w:p>
        </w:tc>
        <w:tc>
          <w:tcPr>
            <w:tcW w:w="3685" w:type="dxa"/>
          </w:tcPr>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 xml:space="preserve">Проводится в отношении </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а) объектов федерального контроля, отнесенных к категории высокого риска;</w:t>
            </w:r>
          </w:p>
          <w:p w:rsidR="00984CE9" w:rsidRPr="00CF2CD0" w:rsidRDefault="001D0C24">
            <w:pPr>
              <w:jc w:val="both"/>
              <w:rPr>
                <w:rFonts w:ascii="Times New Roman" w:hAnsi="Times New Roman" w:cs="Times New Roman"/>
                <w:sz w:val="24"/>
                <w:szCs w:val="24"/>
              </w:rPr>
            </w:pPr>
            <w:r w:rsidRPr="00CF2CD0">
              <w:rPr>
                <w:rFonts w:ascii="Times New Roman" w:hAnsi="Times New Roman" w:cs="Times New Roman"/>
                <w:sz w:val="24"/>
                <w:szCs w:val="24"/>
              </w:rPr>
              <w:t>б) контролируемых лиц, которые впервые начали осуществлять деятельность в области внеуличного транспорта.</w:t>
            </w:r>
          </w:p>
          <w:p w:rsidR="00984CE9" w:rsidRPr="00CF2CD0" w:rsidRDefault="00984CE9">
            <w:pPr>
              <w:jc w:val="both"/>
              <w:rPr>
                <w:rFonts w:ascii="Times New Roman" w:hAnsi="Times New Roman" w:cs="Times New Roman"/>
                <w:sz w:val="24"/>
                <w:szCs w:val="24"/>
              </w:rPr>
            </w:pPr>
          </w:p>
        </w:tc>
        <w:tc>
          <w:tcPr>
            <w:tcW w:w="1843" w:type="dxa"/>
          </w:tcPr>
          <w:p w:rsidR="00984CE9" w:rsidRPr="00CF2CD0" w:rsidRDefault="001D0C24">
            <w:pPr>
              <w:rPr>
                <w:rFonts w:ascii="Times New Roman" w:hAnsi="Times New Roman" w:cs="Times New Roman"/>
                <w:sz w:val="24"/>
                <w:szCs w:val="24"/>
              </w:rPr>
            </w:pPr>
            <w:r w:rsidRPr="00CF2CD0">
              <w:rPr>
                <w:rFonts w:ascii="Times New Roman" w:hAnsi="Times New Roman" w:cs="Times New Roman"/>
                <w:sz w:val="24"/>
                <w:szCs w:val="24"/>
              </w:rPr>
              <w:t>В текущем режиме</w:t>
            </w:r>
          </w:p>
        </w:tc>
        <w:tc>
          <w:tcPr>
            <w:tcW w:w="2551" w:type="dxa"/>
          </w:tcPr>
          <w:p w:rsidR="00984CE9" w:rsidRPr="00CF2CD0" w:rsidRDefault="001D0C24">
            <w:pPr>
              <w:rPr>
                <w:rFonts w:ascii="Times New Roman" w:hAnsi="Times New Roman" w:cs="Times New Roman"/>
                <w:sz w:val="24"/>
                <w:szCs w:val="24"/>
                <w:highlight w:val="yellow"/>
              </w:rPr>
            </w:pPr>
            <w:r w:rsidRPr="00CF2CD0">
              <w:rPr>
                <w:rFonts w:ascii="Times New Roman" w:hAnsi="Times New Roman" w:cs="Times New Roman"/>
                <w:sz w:val="24"/>
                <w:szCs w:val="24"/>
              </w:rPr>
              <w:t>Отдел развития транспорта и инфраструктуры</w:t>
            </w:r>
          </w:p>
        </w:tc>
      </w:tr>
    </w:tbl>
    <w:p w:rsidR="00984CE9" w:rsidRPr="00CF2CD0" w:rsidRDefault="00984CE9">
      <w:pPr>
        <w:spacing w:after="0" w:line="240" w:lineRule="auto"/>
        <w:jc w:val="center"/>
        <w:rPr>
          <w:rFonts w:ascii="Times New Roman" w:hAnsi="Times New Roman" w:cs="Times New Roman"/>
          <w:bCs/>
          <w:sz w:val="28"/>
          <w:szCs w:val="28"/>
        </w:rPr>
      </w:pPr>
    </w:p>
    <w:p w:rsidR="00984CE9" w:rsidRPr="00CF2CD0" w:rsidRDefault="001D0C24">
      <w:pPr>
        <w:spacing w:after="0" w:line="240" w:lineRule="auto"/>
        <w:jc w:val="center"/>
        <w:rPr>
          <w:rFonts w:ascii="Times New Roman" w:hAnsi="Times New Roman" w:cs="Times New Roman"/>
          <w:b/>
          <w:bCs/>
          <w:sz w:val="28"/>
          <w:szCs w:val="28"/>
        </w:rPr>
      </w:pPr>
      <w:r w:rsidRPr="00CF2CD0">
        <w:rPr>
          <w:rFonts w:ascii="Times New Roman" w:hAnsi="Times New Roman" w:cs="Times New Roman"/>
          <w:b/>
          <w:bCs/>
          <w:sz w:val="28"/>
          <w:szCs w:val="28"/>
        </w:rPr>
        <w:t xml:space="preserve"> Раздел </w:t>
      </w:r>
      <w:r w:rsidRPr="00CF2CD0">
        <w:rPr>
          <w:rFonts w:ascii="Times New Roman" w:hAnsi="Times New Roman" w:cs="Times New Roman"/>
          <w:b/>
          <w:bCs/>
          <w:vanish/>
          <w:sz w:val="28"/>
          <w:szCs w:val="28"/>
        </w:rPr>
        <w:t>азделРаРрррр Рааа</w:t>
      </w:r>
      <w:r w:rsidRPr="00CF2CD0">
        <w:rPr>
          <w:rFonts w:ascii="Times New Roman" w:hAnsi="Times New Roman" w:cs="Times New Roman"/>
          <w:b/>
          <w:bCs/>
          <w:sz w:val="28"/>
          <w:szCs w:val="28"/>
        </w:rPr>
        <w:t>4. Показатели результативности и эффективности Программы профилактики</w:t>
      </w:r>
    </w:p>
    <w:p w:rsidR="00984CE9" w:rsidRPr="00CF2CD0" w:rsidRDefault="00984CE9">
      <w:pPr>
        <w:spacing w:after="0" w:line="240" w:lineRule="auto"/>
        <w:jc w:val="center"/>
        <w:rPr>
          <w:rFonts w:ascii="Times New Roman" w:hAnsi="Times New Roman" w:cs="Times New Roman"/>
          <w:b/>
          <w:bCs/>
          <w:sz w:val="28"/>
          <w:szCs w:val="28"/>
        </w:rPr>
      </w:pPr>
    </w:p>
    <w:p w:rsidR="00984CE9" w:rsidRPr="00CF2CD0" w:rsidRDefault="00984CE9">
      <w:pPr>
        <w:spacing w:after="0" w:line="240" w:lineRule="auto"/>
        <w:ind w:firstLine="709"/>
        <w:jc w:val="both"/>
        <w:rPr>
          <w:rFonts w:ascii="Times New Roman" w:hAnsi="Times New Roman" w:cs="Times New Roman"/>
          <w:sz w:val="28"/>
          <w:szCs w:val="28"/>
        </w:rPr>
      </w:pPr>
    </w:p>
    <w:tbl>
      <w:tblPr>
        <w:tblStyle w:val="af5"/>
        <w:tblW w:w="10916" w:type="dxa"/>
        <w:tblInd w:w="-856" w:type="dxa"/>
        <w:tblLook w:val="04A0" w:firstRow="1" w:lastRow="0" w:firstColumn="1" w:lastColumn="0" w:noHBand="0" w:noVBand="1"/>
      </w:tblPr>
      <w:tblGrid>
        <w:gridCol w:w="709"/>
        <w:gridCol w:w="2977"/>
        <w:gridCol w:w="4253"/>
        <w:gridCol w:w="2977"/>
      </w:tblGrid>
      <w:tr w:rsidR="00984CE9" w:rsidRPr="00CF2CD0">
        <w:trPr>
          <w:trHeight w:val="352"/>
        </w:trPr>
        <w:tc>
          <w:tcPr>
            <w:tcW w:w="709" w:type="dxa"/>
            <w:vMerge w:val="restart"/>
          </w:tcPr>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rPr>
              <w:t>№ п/п</w:t>
            </w:r>
          </w:p>
        </w:tc>
        <w:tc>
          <w:tcPr>
            <w:tcW w:w="2977" w:type="dxa"/>
            <w:vMerge w:val="restart"/>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Наименование показателя</w:t>
            </w:r>
          </w:p>
        </w:tc>
        <w:tc>
          <w:tcPr>
            <w:tcW w:w="4253" w:type="dxa"/>
            <w:vMerge w:val="restart"/>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Методика расчета значения показателя</w:t>
            </w:r>
          </w:p>
        </w:tc>
        <w:tc>
          <w:tcPr>
            <w:tcW w:w="2977" w:type="dxa"/>
            <w:tcBorders>
              <w:bottom w:val="single" w:sz="4" w:space="0" w:color="auto"/>
            </w:tcBorders>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Целевые значения</w:t>
            </w:r>
          </w:p>
        </w:tc>
      </w:tr>
      <w:tr w:rsidR="00984CE9" w:rsidRPr="00CF2CD0">
        <w:trPr>
          <w:trHeight w:val="291"/>
        </w:trPr>
        <w:tc>
          <w:tcPr>
            <w:tcW w:w="709" w:type="dxa"/>
            <w:vMerge/>
          </w:tcPr>
          <w:p w:rsidR="00984CE9" w:rsidRPr="00CF2CD0" w:rsidRDefault="00984CE9">
            <w:pPr>
              <w:jc w:val="both"/>
              <w:rPr>
                <w:rFonts w:ascii="Times New Roman" w:hAnsi="Times New Roman" w:cs="Times New Roman"/>
                <w:sz w:val="28"/>
                <w:szCs w:val="28"/>
              </w:rPr>
            </w:pPr>
          </w:p>
        </w:tc>
        <w:tc>
          <w:tcPr>
            <w:tcW w:w="2977" w:type="dxa"/>
            <w:vMerge/>
          </w:tcPr>
          <w:p w:rsidR="00984CE9" w:rsidRPr="00CF2CD0" w:rsidRDefault="00984CE9">
            <w:pPr>
              <w:jc w:val="both"/>
              <w:rPr>
                <w:rFonts w:ascii="Times New Roman" w:hAnsi="Times New Roman" w:cs="Times New Roman"/>
                <w:sz w:val="28"/>
                <w:szCs w:val="28"/>
              </w:rPr>
            </w:pPr>
          </w:p>
        </w:tc>
        <w:tc>
          <w:tcPr>
            <w:tcW w:w="4253" w:type="dxa"/>
            <w:vMerge/>
          </w:tcPr>
          <w:p w:rsidR="00984CE9" w:rsidRPr="00CF2CD0" w:rsidRDefault="00984CE9">
            <w:pPr>
              <w:jc w:val="both"/>
              <w:rPr>
                <w:rFonts w:ascii="Times New Roman" w:hAnsi="Times New Roman" w:cs="Times New Roman"/>
                <w:sz w:val="28"/>
                <w:szCs w:val="28"/>
              </w:rPr>
            </w:pPr>
          </w:p>
        </w:tc>
        <w:tc>
          <w:tcPr>
            <w:tcW w:w="2977" w:type="dxa"/>
            <w:tcBorders>
              <w:top w:val="single" w:sz="4" w:space="0" w:color="auto"/>
            </w:tcBorders>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2025 год</w:t>
            </w:r>
          </w:p>
        </w:tc>
      </w:tr>
      <w:tr w:rsidR="00984CE9" w:rsidRPr="00CF2CD0">
        <w:tc>
          <w:tcPr>
            <w:tcW w:w="709"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1</w:t>
            </w:r>
          </w:p>
        </w:tc>
        <w:tc>
          <w:tcPr>
            <w:tcW w:w="2977"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2</w:t>
            </w:r>
          </w:p>
        </w:tc>
        <w:tc>
          <w:tcPr>
            <w:tcW w:w="4253"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3</w:t>
            </w:r>
          </w:p>
        </w:tc>
        <w:tc>
          <w:tcPr>
            <w:tcW w:w="2977"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4</w:t>
            </w:r>
          </w:p>
        </w:tc>
      </w:tr>
      <w:tr w:rsidR="00984CE9" w:rsidRPr="00CF2CD0">
        <w:trPr>
          <w:trHeight w:val="371"/>
        </w:trPr>
        <w:tc>
          <w:tcPr>
            <w:tcW w:w="709"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1</w:t>
            </w:r>
          </w:p>
        </w:tc>
        <w:tc>
          <w:tcPr>
            <w:tcW w:w="2977"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Доля нарушений правил технической эксплуатации Новосибирского метрополитена</w:t>
            </w:r>
          </w:p>
        </w:tc>
        <w:tc>
          <w:tcPr>
            <w:tcW w:w="4253" w:type="dxa"/>
          </w:tcPr>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rPr>
              <w:t>Х=А х 100%/В, где</w:t>
            </w:r>
          </w:p>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rPr>
              <w:t>Х – доля нарушений правил технической эксплуатации Новосибирского метрополитена;</w:t>
            </w:r>
          </w:p>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rPr>
              <w:t>А – количество нарушений правил технической эксплуатации Новосибирского метрополитена, допущенных подконтрольным субъектом и выявленных при проведении проверок;</w:t>
            </w:r>
          </w:p>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rPr>
              <w:lastRenderedPageBreak/>
              <w:t>В – количество нарушений правил технической эксплуатации Новосибирского метрополитена, допущенных подконтрольным субъектом и выявленных при проведении проверок в базовом периоде (2021 год)</w:t>
            </w:r>
          </w:p>
        </w:tc>
        <w:tc>
          <w:tcPr>
            <w:tcW w:w="2977"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lastRenderedPageBreak/>
              <w:t>83%</w:t>
            </w:r>
          </w:p>
        </w:tc>
      </w:tr>
      <w:tr w:rsidR="00984CE9" w:rsidRPr="00CF2CD0">
        <w:tc>
          <w:tcPr>
            <w:tcW w:w="709"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lastRenderedPageBreak/>
              <w:t>2</w:t>
            </w:r>
          </w:p>
        </w:tc>
        <w:tc>
          <w:tcPr>
            <w:tcW w:w="2977"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Доля нарушений правил пользования Новосибирским метрополитеном</w:t>
            </w:r>
          </w:p>
        </w:tc>
        <w:tc>
          <w:tcPr>
            <w:tcW w:w="4253" w:type="dxa"/>
          </w:tcPr>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lang w:val="en-US"/>
              </w:rPr>
              <w:t>Y</w:t>
            </w:r>
            <w:r w:rsidRPr="00CF2CD0">
              <w:rPr>
                <w:rFonts w:ascii="Times New Roman" w:hAnsi="Times New Roman" w:cs="Times New Roman"/>
                <w:sz w:val="28"/>
                <w:szCs w:val="28"/>
              </w:rPr>
              <w:t xml:space="preserve"> = </w:t>
            </w:r>
            <w:r w:rsidRPr="00CF2CD0">
              <w:rPr>
                <w:rFonts w:ascii="Times New Roman" w:hAnsi="Times New Roman" w:cs="Times New Roman"/>
                <w:sz w:val="28"/>
                <w:szCs w:val="28"/>
                <w:lang w:val="en-US"/>
              </w:rPr>
              <w:t>C</w:t>
            </w:r>
            <w:r w:rsidRPr="00CF2CD0">
              <w:rPr>
                <w:rFonts w:ascii="Times New Roman" w:hAnsi="Times New Roman" w:cs="Times New Roman"/>
                <w:sz w:val="28"/>
                <w:szCs w:val="28"/>
              </w:rPr>
              <w:t xml:space="preserve"> х 100%/</w:t>
            </w:r>
            <w:r w:rsidRPr="00CF2CD0">
              <w:rPr>
                <w:rFonts w:ascii="Times New Roman" w:hAnsi="Times New Roman" w:cs="Times New Roman"/>
                <w:sz w:val="28"/>
                <w:szCs w:val="28"/>
                <w:lang w:val="en-US"/>
              </w:rPr>
              <w:t>D</w:t>
            </w:r>
            <w:r w:rsidRPr="00CF2CD0">
              <w:rPr>
                <w:rFonts w:ascii="Times New Roman" w:hAnsi="Times New Roman" w:cs="Times New Roman"/>
                <w:sz w:val="28"/>
                <w:szCs w:val="28"/>
              </w:rPr>
              <w:t>, где:</w:t>
            </w:r>
          </w:p>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lang w:val="en-US"/>
              </w:rPr>
              <w:t>Y</w:t>
            </w:r>
            <w:r w:rsidRPr="00CF2CD0">
              <w:rPr>
                <w:rFonts w:ascii="Times New Roman" w:hAnsi="Times New Roman" w:cs="Times New Roman"/>
                <w:sz w:val="28"/>
                <w:szCs w:val="28"/>
              </w:rPr>
              <w:t xml:space="preserve"> – доля нарушений правил пользования Новосибирским метрополитеном;</w:t>
            </w:r>
          </w:p>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rPr>
              <w:t>С – количество нарушений пользования Новосибирским метрополитеном, допущенных подконтрольным субъектом и выявленных при проведении проверок;</w:t>
            </w:r>
          </w:p>
          <w:p w:rsidR="00984CE9" w:rsidRPr="00CF2CD0" w:rsidRDefault="001D0C24">
            <w:pPr>
              <w:jc w:val="both"/>
              <w:rPr>
                <w:rFonts w:ascii="Times New Roman" w:hAnsi="Times New Roman" w:cs="Times New Roman"/>
                <w:sz w:val="28"/>
                <w:szCs w:val="28"/>
              </w:rPr>
            </w:pPr>
            <w:r w:rsidRPr="00CF2CD0">
              <w:rPr>
                <w:rFonts w:ascii="Times New Roman" w:hAnsi="Times New Roman" w:cs="Times New Roman"/>
                <w:sz w:val="28"/>
                <w:szCs w:val="28"/>
                <w:lang w:val="en-US"/>
              </w:rPr>
              <w:t>D</w:t>
            </w:r>
            <w:r w:rsidRPr="00CF2CD0">
              <w:rPr>
                <w:rFonts w:ascii="Times New Roman" w:hAnsi="Times New Roman" w:cs="Times New Roman"/>
                <w:sz w:val="28"/>
                <w:szCs w:val="28"/>
              </w:rPr>
              <w:t xml:space="preserve"> – количество нарушений правил пользования Новосибирским метрополитеном, допущенных подконтрольным субъектом и выявленных при проведении проверок в базовом периоде 2021 год)</w:t>
            </w:r>
          </w:p>
        </w:tc>
        <w:tc>
          <w:tcPr>
            <w:tcW w:w="2977" w:type="dxa"/>
          </w:tcPr>
          <w:p w:rsidR="00984CE9" w:rsidRPr="00CF2CD0" w:rsidRDefault="001D0C24">
            <w:pPr>
              <w:jc w:val="center"/>
              <w:rPr>
                <w:rFonts w:ascii="Times New Roman" w:hAnsi="Times New Roman" w:cs="Times New Roman"/>
                <w:sz w:val="28"/>
                <w:szCs w:val="28"/>
              </w:rPr>
            </w:pPr>
            <w:r w:rsidRPr="00CF2CD0">
              <w:rPr>
                <w:rFonts w:ascii="Times New Roman" w:hAnsi="Times New Roman" w:cs="Times New Roman"/>
                <w:sz w:val="28"/>
                <w:szCs w:val="28"/>
              </w:rPr>
              <w:t>83%</w:t>
            </w:r>
          </w:p>
        </w:tc>
      </w:tr>
    </w:tbl>
    <w:p w:rsidR="00984CE9" w:rsidRPr="00CF2CD0" w:rsidRDefault="00984CE9">
      <w:pPr>
        <w:spacing w:after="0" w:line="240" w:lineRule="auto"/>
        <w:ind w:firstLine="709"/>
        <w:jc w:val="both"/>
        <w:rPr>
          <w:rFonts w:ascii="Times New Roman" w:hAnsi="Times New Roman" w:cs="Times New Roman"/>
          <w:sz w:val="28"/>
          <w:szCs w:val="28"/>
        </w:rPr>
      </w:pP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В целях оценки результативности профилактических мероприятий базовым периодом установлен 2021 год.</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Программа профилактики признается эффективной в случае достижения значений целевых показателей, предусмотренных настоящим разделом.</w:t>
      </w:r>
    </w:p>
    <w:p w:rsidR="00984CE9" w:rsidRPr="00CF2CD0" w:rsidRDefault="001D0C24">
      <w:pPr>
        <w:spacing w:after="0" w:line="240" w:lineRule="auto"/>
        <w:ind w:firstLine="709"/>
        <w:jc w:val="both"/>
        <w:rPr>
          <w:rFonts w:ascii="Times New Roman" w:hAnsi="Times New Roman" w:cs="Times New Roman"/>
          <w:sz w:val="28"/>
          <w:szCs w:val="28"/>
        </w:rPr>
      </w:pPr>
      <w:r w:rsidRPr="00CF2CD0">
        <w:rPr>
          <w:rFonts w:ascii="Times New Roman" w:hAnsi="Times New Roman" w:cs="Times New Roman"/>
          <w:sz w:val="28"/>
          <w:szCs w:val="28"/>
        </w:rPr>
        <w:t>В случае не достижения целевых значений показателей, программа профилактики признаётся недостаточно эффективной и требующей изменений в части интенсивности и форм проведения мероприятий по профилактике.</w:t>
      </w:r>
    </w:p>
    <w:p w:rsidR="00984CE9" w:rsidRPr="00CF2CD0" w:rsidRDefault="00984CE9">
      <w:pPr>
        <w:spacing w:after="0" w:line="240" w:lineRule="auto"/>
        <w:ind w:firstLine="709"/>
        <w:jc w:val="both"/>
        <w:rPr>
          <w:rFonts w:ascii="Times New Roman" w:hAnsi="Times New Roman" w:cs="Times New Roman"/>
          <w:sz w:val="28"/>
          <w:szCs w:val="28"/>
        </w:rPr>
      </w:pPr>
    </w:p>
    <w:sectPr w:rsidR="00984CE9" w:rsidRPr="00CF2CD0">
      <w:headerReference w:type="default" r:id="rId7"/>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4AEB" w:rsidRDefault="00894AEB">
      <w:pPr>
        <w:spacing w:after="0" w:line="240" w:lineRule="auto"/>
      </w:pPr>
      <w:r>
        <w:separator/>
      </w:r>
    </w:p>
  </w:endnote>
  <w:endnote w:type="continuationSeparator" w:id="0">
    <w:p w:rsidR="00894AEB" w:rsidRDefault="00894A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4AEB" w:rsidRDefault="00894AEB">
      <w:pPr>
        <w:spacing w:after="0" w:line="240" w:lineRule="auto"/>
      </w:pPr>
      <w:r>
        <w:separator/>
      </w:r>
    </w:p>
  </w:footnote>
  <w:footnote w:type="continuationSeparator" w:id="0">
    <w:p w:rsidR="00894AEB" w:rsidRDefault="00894A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3216063"/>
      <w:docPartObj>
        <w:docPartGallery w:val="Page Numbers (Top of Page)"/>
        <w:docPartUnique/>
      </w:docPartObj>
    </w:sdtPr>
    <w:sdtEndPr/>
    <w:sdtContent>
      <w:p w:rsidR="00984CE9" w:rsidRDefault="001D0C24">
        <w:pPr>
          <w:pStyle w:val="af6"/>
          <w:jc w:val="center"/>
        </w:pPr>
        <w:r>
          <w:rPr>
            <w:rFonts w:ascii="Times New Roman" w:hAnsi="Times New Roman" w:cs="Times New Roman"/>
            <w:sz w:val="20"/>
            <w:szCs w:val="20"/>
          </w:rPr>
          <w:fldChar w:fldCharType="begin"/>
        </w:r>
        <w:r>
          <w:rPr>
            <w:rFonts w:ascii="Times New Roman" w:hAnsi="Times New Roman" w:cs="Times New Roman"/>
            <w:sz w:val="20"/>
            <w:szCs w:val="20"/>
          </w:rPr>
          <w:instrText>PAGE   \* MERGEFORMAT</w:instrText>
        </w:r>
        <w:r>
          <w:rPr>
            <w:rFonts w:ascii="Times New Roman" w:hAnsi="Times New Roman" w:cs="Times New Roman"/>
            <w:sz w:val="20"/>
            <w:szCs w:val="20"/>
          </w:rPr>
          <w:fldChar w:fldCharType="separate"/>
        </w:r>
        <w:r w:rsidR="00A07571">
          <w:rPr>
            <w:rFonts w:ascii="Times New Roman" w:hAnsi="Times New Roman" w:cs="Times New Roman"/>
            <w:noProof/>
            <w:sz w:val="20"/>
            <w:szCs w:val="20"/>
          </w:rPr>
          <w:t>2</w:t>
        </w:r>
        <w:r>
          <w:rPr>
            <w:rFonts w:ascii="Times New Roman" w:hAnsi="Times New Roman" w:cs="Times New Roman"/>
            <w:sz w:val="20"/>
            <w:szCs w:val="20"/>
          </w:rPr>
          <w:fldChar w:fldCharType="end"/>
        </w:r>
      </w:p>
    </w:sdtContent>
  </w:sdt>
  <w:p w:rsidR="00984CE9" w:rsidRDefault="00984CE9">
    <w:pPr>
      <w:pStyle w:val="af6"/>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36AFB"/>
    <w:multiLevelType w:val="hybridMultilevel"/>
    <w:tmpl w:val="ED6E42E6"/>
    <w:lvl w:ilvl="0" w:tplc="E4C611CA">
      <w:start w:val="1"/>
      <w:numFmt w:val="decimal"/>
      <w:lvlText w:val="%1)"/>
      <w:lvlJc w:val="left"/>
      <w:pPr>
        <w:ind w:left="1069" w:hanging="360"/>
      </w:pPr>
      <w:rPr>
        <w:rFonts w:hint="default"/>
      </w:rPr>
    </w:lvl>
    <w:lvl w:ilvl="1" w:tplc="D58A8B08">
      <w:start w:val="1"/>
      <w:numFmt w:val="lowerLetter"/>
      <w:lvlText w:val="%2."/>
      <w:lvlJc w:val="left"/>
      <w:pPr>
        <w:ind w:left="1789" w:hanging="360"/>
      </w:pPr>
    </w:lvl>
    <w:lvl w:ilvl="2" w:tplc="46302836">
      <w:start w:val="1"/>
      <w:numFmt w:val="lowerRoman"/>
      <w:lvlText w:val="%3."/>
      <w:lvlJc w:val="right"/>
      <w:pPr>
        <w:ind w:left="2509" w:hanging="180"/>
      </w:pPr>
    </w:lvl>
    <w:lvl w:ilvl="3" w:tplc="F2D45FE6">
      <w:start w:val="1"/>
      <w:numFmt w:val="decimal"/>
      <w:lvlText w:val="%4."/>
      <w:lvlJc w:val="left"/>
      <w:pPr>
        <w:ind w:left="3229" w:hanging="360"/>
      </w:pPr>
    </w:lvl>
    <w:lvl w:ilvl="4" w:tplc="809C5F68">
      <w:start w:val="1"/>
      <w:numFmt w:val="lowerLetter"/>
      <w:lvlText w:val="%5."/>
      <w:lvlJc w:val="left"/>
      <w:pPr>
        <w:ind w:left="3949" w:hanging="360"/>
      </w:pPr>
    </w:lvl>
    <w:lvl w:ilvl="5" w:tplc="A68E0068">
      <w:start w:val="1"/>
      <w:numFmt w:val="lowerRoman"/>
      <w:lvlText w:val="%6."/>
      <w:lvlJc w:val="right"/>
      <w:pPr>
        <w:ind w:left="4669" w:hanging="180"/>
      </w:pPr>
    </w:lvl>
    <w:lvl w:ilvl="6" w:tplc="D04A1FE8">
      <w:start w:val="1"/>
      <w:numFmt w:val="decimal"/>
      <w:lvlText w:val="%7."/>
      <w:lvlJc w:val="left"/>
      <w:pPr>
        <w:ind w:left="5389" w:hanging="360"/>
      </w:pPr>
    </w:lvl>
    <w:lvl w:ilvl="7" w:tplc="48960BB2">
      <w:start w:val="1"/>
      <w:numFmt w:val="lowerLetter"/>
      <w:lvlText w:val="%8."/>
      <w:lvlJc w:val="left"/>
      <w:pPr>
        <w:ind w:left="6109" w:hanging="360"/>
      </w:pPr>
    </w:lvl>
    <w:lvl w:ilvl="8" w:tplc="128E39EE">
      <w:start w:val="1"/>
      <w:numFmt w:val="lowerRoman"/>
      <w:lvlText w:val="%9."/>
      <w:lvlJc w:val="right"/>
      <w:pPr>
        <w:ind w:left="6829" w:hanging="180"/>
      </w:pPr>
    </w:lvl>
  </w:abstractNum>
  <w:abstractNum w:abstractNumId="1" w15:restartNumberingAfterBreak="0">
    <w:nsid w:val="08D33F3C"/>
    <w:multiLevelType w:val="hybridMultilevel"/>
    <w:tmpl w:val="5E1257EA"/>
    <w:lvl w:ilvl="0" w:tplc="354E74A0">
      <w:start w:val="1"/>
      <w:numFmt w:val="decimal"/>
      <w:lvlText w:val="%1."/>
      <w:lvlJc w:val="left"/>
      <w:pPr>
        <w:ind w:left="928" w:hanging="360"/>
      </w:pPr>
      <w:rPr>
        <w:rFonts w:hint="default"/>
      </w:rPr>
    </w:lvl>
    <w:lvl w:ilvl="1" w:tplc="B44C36B4">
      <w:start w:val="1"/>
      <w:numFmt w:val="lowerLetter"/>
      <w:lvlText w:val="%2."/>
      <w:lvlJc w:val="left"/>
      <w:pPr>
        <w:ind w:left="1789" w:hanging="360"/>
      </w:pPr>
    </w:lvl>
    <w:lvl w:ilvl="2" w:tplc="1B76E1D8">
      <w:start w:val="1"/>
      <w:numFmt w:val="lowerRoman"/>
      <w:lvlText w:val="%3."/>
      <w:lvlJc w:val="right"/>
      <w:pPr>
        <w:ind w:left="2509" w:hanging="180"/>
      </w:pPr>
    </w:lvl>
    <w:lvl w:ilvl="3" w:tplc="A99A0C1A">
      <w:start w:val="1"/>
      <w:numFmt w:val="decimal"/>
      <w:lvlText w:val="%4."/>
      <w:lvlJc w:val="left"/>
      <w:pPr>
        <w:ind w:left="3229" w:hanging="360"/>
      </w:pPr>
    </w:lvl>
    <w:lvl w:ilvl="4" w:tplc="B16E5D76">
      <w:start w:val="1"/>
      <w:numFmt w:val="lowerLetter"/>
      <w:lvlText w:val="%5."/>
      <w:lvlJc w:val="left"/>
      <w:pPr>
        <w:ind w:left="3949" w:hanging="360"/>
      </w:pPr>
    </w:lvl>
    <w:lvl w:ilvl="5" w:tplc="D1A2E564">
      <w:start w:val="1"/>
      <w:numFmt w:val="lowerRoman"/>
      <w:lvlText w:val="%6."/>
      <w:lvlJc w:val="right"/>
      <w:pPr>
        <w:ind w:left="4669" w:hanging="180"/>
      </w:pPr>
    </w:lvl>
    <w:lvl w:ilvl="6" w:tplc="C692710C">
      <w:start w:val="1"/>
      <w:numFmt w:val="decimal"/>
      <w:lvlText w:val="%7."/>
      <w:lvlJc w:val="left"/>
      <w:pPr>
        <w:ind w:left="5389" w:hanging="360"/>
      </w:pPr>
    </w:lvl>
    <w:lvl w:ilvl="7" w:tplc="439E6042">
      <w:start w:val="1"/>
      <w:numFmt w:val="lowerLetter"/>
      <w:lvlText w:val="%8."/>
      <w:lvlJc w:val="left"/>
      <w:pPr>
        <w:ind w:left="6109" w:hanging="360"/>
      </w:pPr>
    </w:lvl>
    <w:lvl w:ilvl="8" w:tplc="51D0272E">
      <w:start w:val="1"/>
      <w:numFmt w:val="lowerRoman"/>
      <w:lvlText w:val="%9."/>
      <w:lvlJc w:val="right"/>
      <w:pPr>
        <w:ind w:left="6829" w:hanging="180"/>
      </w:pPr>
    </w:lvl>
  </w:abstractNum>
  <w:abstractNum w:abstractNumId="2" w15:restartNumberingAfterBreak="0">
    <w:nsid w:val="18E83681"/>
    <w:multiLevelType w:val="hybridMultilevel"/>
    <w:tmpl w:val="6EC628EA"/>
    <w:lvl w:ilvl="0" w:tplc="E4484032">
      <w:start w:val="1"/>
      <w:numFmt w:val="decimal"/>
      <w:lvlText w:val="%1)"/>
      <w:lvlJc w:val="left"/>
      <w:pPr>
        <w:ind w:left="1069" w:hanging="360"/>
      </w:pPr>
      <w:rPr>
        <w:rFonts w:hint="default"/>
      </w:rPr>
    </w:lvl>
    <w:lvl w:ilvl="1" w:tplc="366C51DC">
      <w:start w:val="1"/>
      <w:numFmt w:val="lowerLetter"/>
      <w:lvlText w:val="%2."/>
      <w:lvlJc w:val="left"/>
      <w:pPr>
        <w:ind w:left="1789" w:hanging="360"/>
      </w:pPr>
    </w:lvl>
    <w:lvl w:ilvl="2" w:tplc="DD9C53B0">
      <w:start w:val="1"/>
      <w:numFmt w:val="lowerRoman"/>
      <w:lvlText w:val="%3."/>
      <w:lvlJc w:val="right"/>
      <w:pPr>
        <w:ind w:left="2509" w:hanging="180"/>
      </w:pPr>
    </w:lvl>
    <w:lvl w:ilvl="3" w:tplc="FE06E376">
      <w:start w:val="1"/>
      <w:numFmt w:val="decimal"/>
      <w:lvlText w:val="%4."/>
      <w:lvlJc w:val="left"/>
      <w:pPr>
        <w:ind w:left="3229" w:hanging="360"/>
      </w:pPr>
    </w:lvl>
    <w:lvl w:ilvl="4" w:tplc="EC040B52">
      <w:start w:val="1"/>
      <w:numFmt w:val="lowerLetter"/>
      <w:lvlText w:val="%5."/>
      <w:lvlJc w:val="left"/>
      <w:pPr>
        <w:ind w:left="3949" w:hanging="360"/>
      </w:pPr>
    </w:lvl>
    <w:lvl w:ilvl="5" w:tplc="98C421F8">
      <w:start w:val="1"/>
      <w:numFmt w:val="lowerRoman"/>
      <w:lvlText w:val="%6."/>
      <w:lvlJc w:val="right"/>
      <w:pPr>
        <w:ind w:left="4669" w:hanging="180"/>
      </w:pPr>
    </w:lvl>
    <w:lvl w:ilvl="6" w:tplc="93CC741E">
      <w:start w:val="1"/>
      <w:numFmt w:val="decimal"/>
      <w:lvlText w:val="%7."/>
      <w:lvlJc w:val="left"/>
      <w:pPr>
        <w:ind w:left="5389" w:hanging="360"/>
      </w:pPr>
    </w:lvl>
    <w:lvl w:ilvl="7" w:tplc="3F24C418">
      <w:start w:val="1"/>
      <w:numFmt w:val="lowerLetter"/>
      <w:lvlText w:val="%8."/>
      <w:lvlJc w:val="left"/>
      <w:pPr>
        <w:ind w:left="6109" w:hanging="360"/>
      </w:pPr>
    </w:lvl>
    <w:lvl w:ilvl="8" w:tplc="6C7A01B0">
      <w:start w:val="1"/>
      <w:numFmt w:val="lowerRoman"/>
      <w:lvlText w:val="%9."/>
      <w:lvlJc w:val="right"/>
      <w:pPr>
        <w:ind w:left="6829" w:hanging="180"/>
      </w:pPr>
    </w:lvl>
  </w:abstractNum>
  <w:abstractNum w:abstractNumId="3" w15:restartNumberingAfterBreak="0">
    <w:nsid w:val="38BD700A"/>
    <w:multiLevelType w:val="hybridMultilevel"/>
    <w:tmpl w:val="1B48F2EE"/>
    <w:lvl w:ilvl="0" w:tplc="5C4A011A">
      <w:start w:val="1"/>
      <w:numFmt w:val="upperRoman"/>
      <w:lvlText w:val="%1."/>
      <w:lvlJc w:val="left"/>
      <w:pPr>
        <w:ind w:left="2988" w:hanging="720"/>
      </w:pPr>
      <w:rPr>
        <w:rFonts w:hint="default"/>
      </w:rPr>
    </w:lvl>
    <w:lvl w:ilvl="1" w:tplc="822C405C">
      <w:start w:val="1"/>
      <w:numFmt w:val="lowerLetter"/>
      <w:lvlText w:val="%2."/>
      <w:lvlJc w:val="left"/>
      <w:pPr>
        <w:ind w:left="2356" w:hanging="360"/>
      </w:pPr>
    </w:lvl>
    <w:lvl w:ilvl="2" w:tplc="696260C0">
      <w:start w:val="1"/>
      <w:numFmt w:val="lowerRoman"/>
      <w:lvlText w:val="%3."/>
      <w:lvlJc w:val="right"/>
      <w:pPr>
        <w:ind w:left="3076" w:hanging="180"/>
      </w:pPr>
    </w:lvl>
    <w:lvl w:ilvl="3" w:tplc="2BF6DE72">
      <w:start w:val="1"/>
      <w:numFmt w:val="decimal"/>
      <w:lvlText w:val="%4."/>
      <w:lvlJc w:val="left"/>
      <w:pPr>
        <w:ind w:left="3796" w:hanging="360"/>
      </w:pPr>
    </w:lvl>
    <w:lvl w:ilvl="4" w:tplc="52C23300">
      <w:start w:val="1"/>
      <w:numFmt w:val="lowerLetter"/>
      <w:lvlText w:val="%5."/>
      <w:lvlJc w:val="left"/>
      <w:pPr>
        <w:ind w:left="4516" w:hanging="360"/>
      </w:pPr>
    </w:lvl>
    <w:lvl w:ilvl="5" w:tplc="16DC75E8">
      <w:start w:val="1"/>
      <w:numFmt w:val="lowerRoman"/>
      <w:lvlText w:val="%6."/>
      <w:lvlJc w:val="right"/>
      <w:pPr>
        <w:ind w:left="5236" w:hanging="180"/>
      </w:pPr>
    </w:lvl>
    <w:lvl w:ilvl="6" w:tplc="BDC841BC">
      <w:start w:val="1"/>
      <w:numFmt w:val="decimal"/>
      <w:lvlText w:val="%7."/>
      <w:lvlJc w:val="left"/>
      <w:pPr>
        <w:ind w:left="5956" w:hanging="360"/>
      </w:pPr>
    </w:lvl>
    <w:lvl w:ilvl="7" w:tplc="2EEEF018">
      <w:start w:val="1"/>
      <w:numFmt w:val="lowerLetter"/>
      <w:lvlText w:val="%8."/>
      <w:lvlJc w:val="left"/>
      <w:pPr>
        <w:ind w:left="6676" w:hanging="360"/>
      </w:pPr>
    </w:lvl>
    <w:lvl w:ilvl="8" w:tplc="4CF0EBBE">
      <w:start w:val="1"/>
      <w:numFmt w:val="lowerRoman"/>
      <w:lvlText w:val="%9."/>
      <w:lvlJc w:val="right"/>
      <w:pPr>
        <w:ind w:left="7396" w:hanging="180"/>
      </w:pPr>
    </w:lvl>
  </w:abstractNum>
  <w:abstractNum w:abstractNumId="4" w15:restartNumberingAfterBreak="0">
    <w:nsid w:val="49A87291"/>
    <w:multiLevelType w:val="hybridMultilevel"/>
    <w:tmpl w:val="084C9F1E"/>
    <w:lvl w:ilvl="0" w:tplc="EE5CD98C">
      <w:start w:val="1"/>
      <w:numFmt w:val="decimal"/>
      <w:lvlText w:val="%1)"/>
      <w:lvlJc w:val="left"/>
      <w:pPr>
        <w:ind w:left="1070" w:hanging="360"/>
      </w:pPr>
      <w:rPr>
        <w:rFonts w:hint="default"/>
      </w:rPr>
    </w:lvl>
    <w:lvl w:ilvl="1" w:tplc="5EDA2978">
      <w:start w:val="1"/>
      <w:numFmt w:val="lowerLetter"/>
      <w:lvlText w:val="%2."/>
      <w:lvlJc w:val="left"/>
      <w:pPr>
        <w:ind w:left="1789" w:hanging="360"/>
      </w:pPr>
    </w:lvl>
    <w:lvl w:ilvl="2" w:tplc="4DE822BE">
      <w:start w:val="1"/>
      <w:numFmt w:val="lowerRoman"/>
      <w:lvlText w:val="%3."/>
      <w:lvlJc w:val="right"/>
      <w:pPr>
        <w:ind w:left="2509" w:hanging="180"/>
      </w:pPr>
    </w:lvl>
    <w:lvl w:ilvl="3" w:tplc="212E44EE">
      <w:start w:val="1"/>
      <w:numFmt w:val="decimal"/>
      <w:lvlText w:val="%4."/>
      <w:lvlJc w:val="left"/>
      <w:pPr>
        <w:ind w:left="3229" w:hanging="360"/>
      </w:pPr>
    </w:lvl>
    <w:lvl w:ilvl="4" w:tplc="B1F6D98E">
      <w:start w:val="1"/>
      <w:numFmt w:val="lowerLetter"/>
      <w:lvlText w:val="%5."/>
      <w:lvlJc w:val="left"/>
      <w:pPr>
        <w:ind w:left="3949" w:hanging="360"/>
      </w:pPr>
    </w:lvl>
    <w:lvl w:ilvl="5" w:tplc="E01C26A2">
      <w:start w:val="1"/>
      <w:numFmt w:val="lowerRoman"/>
      <w:lvlText w:val="%6."/>
      <w:lvlJc w:val="right"/>
      <w:pPr>
        <w:ind w:left="4669" w:hanging="180"/>
      </w:pPr>
    </w:lvl>
    <w:lvl w:ilvl="6" w:tplc="A30EFDD6">
      <w:start w:val="1"/>
      <w:numFmt w:val="decimal"/>
      <w:lvlText w:val="%7."/>
      <w:lvlJc w:val="left"/>
      <w:pPr>
        <w:ind w:left="5389" w:hanging="360"/>
      </w:pPr>
    </w:lvl>
    <w:lvl w:ilvl="7" w:tplc="C074C2CA">
      <w:start w:val="1"/>
      <w:numFmt w:val="lowerLetter"/>
      <w:lvlText w:val="%8."/>
      <w:lvlJc w:val="left"/>
      <w:pPr>
        <w:ind w:left="6109" w:hanging="360"/>
      </w:pPr>
    </w:lvl>
    <w:lvl w:ilvl="8" w:tplc="79761506">
      <w:start w:val="1"/>
      <w:numFmt w:val="lowerRoman"/>
      <w:lvlText w:val="%9."/>
      <w:lvlJc w:val="right"/>
      <w:pPr>
        <w:ind w:left="6829" w:hanging="180"/>
      </w:pPr>
    </w:lvl>
  </w:abstractNum>
  <w:abstractNum w:abstractNumId="5" w15:restartNumberingAfterBreak="0">
    <w:nsid w:val="63660B38"/>
    <w:multiLevelType w:val="hybridMultilevel"/>
    <w:tmpl w:val="47A2A588"/>
    <w:lvl w:ilvl="0" w:tplc="D31EAF6E">
      <w:start w:val="1"/>
      <w:numFmt w:val="decimal"/>
      <w:lvlText w:val="%1)"/>
      <w:lvlJc w:val="left"/>
      <w:pPr>
        <w:ind w:left="1069" w:hanging="360"/>
      </w:pPr>
      <w:rPr>
        <w:rFonts w:hint="default"/>
      </w:rPr>
    </w:lvl>
    <w:lvl w:ilvl="1" w:tplc="7D1E837A">
      <w:start w:val="1"/>
      <w:numFmt w:val="lowerLetter"/>
      <w:lvlText w:val="%2."/>
      <w:lvlJc w:val="left"/>
      <w:pPr>
        <w:ind w:left="1789" w:hanging="360"/>
      </w:pPr>
    </w:lvl>
    <w:lvl w:ilvl="2" w:tplc="7A325456">
      <w:start w:val="1"/>
      <w:numFmt w:val="lowerRoman"/>
      <w:lvlText w:val="%3."/>
      <w:lvlJc w:val="right"/>
      <w:pPr>
        <w:ind w:left="2509" w:hanging="180"/>
      </w:pPr>
    </w:lvl>
    <w:lvl w:ilvl="3" w:tplc="E9840EB2">
      <w:start w:val="1"/>
      <w:numFmt w:val="decimal"/>
      <w:lvlText w:val="%4."/>
      <w:lvlJc w:val="left"/>
      <w:pPr>
        <w:ind w:left="3229" w:hanging="360"/>
      </w:pPr>
    </w:lvl>
    <w:lvl w:ilvl="4" w:tplc="0AF49424">
      <w:start w:val="1"/>
      <w:numFmt w:val="lowerLetter"/>
      <w:lvlText w:val="%5."/>
      <w:lvlJc w:val="left"/>
      <w:pPr>
        <w:ind w:left="3949" w:hanging="360"/>
      </w:pPr>
    </w:lvl>
    <w:lvl w:ilvl="5" w:tplc="D3BC8CB8">
      <w:start w:val="1"/>
      <w:numFmt w:val="lowerRoman"/>
      <w:lvlText w:val="%6."/>
      <w:lvlJc w:val="right"/>
      <w:pPr>
        <w:ind w:left="4669" w:hanging="180"/>
      </w:pPr>
    </w:lvl>
    <w:lvl w:ilvl="6" w:tplc="077ECA6E">
      <w:start w:val="1"/>
      <w:numFmt w:val="decimal"/>
      <w:lvlText w:val="%7."/>
      <w:lvlJc w:val="left"/>
      <w:pPr>
        <w:ind w:left="5389" w:hanging="360"/>
      </w:pPr>
    </w:lvl>
    <w:lvl w:ilvl="7" w:tplc="8884D1BE">
      <w:start w:val="1"/>
      <w:numFmt w:val="lowerLetter"/>
      <w:lvlText w:val="%8."/>
      <w:lvlJc w:val="left"/>
      <w:pPr>
        <w:ind w:left="6109" w:hanging="360"/>
      </w:pPr>
    </w:lvl>
    <w:lvl w:ilvl="8" w:tplc="22B256F0">
      <w:start w:val="1"/>
      <w:numFmt w:val="lowerRoman"/>
      <w:lvlText w:val="%9."/>
      <w:lvlJc w:val="right"/>
      <w:pPr>
        <w:ind w:left="6829" w:hanging="180"/>
      </w:pPr>
    </w:lvl>
  </w:abstractNum>
  <w:num w:numId="1">
    <w:abstractNumId w:val="1"/>
  </w:num>
  <w:num w:numId="2">
    <w:abstractNumId w:val="2"/>
  </w:num>
  <w:num w:numId="3">
    <w:abstractNumId w:val="0"/>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CE9"/>
    <w:rsid w:val="001D0C24"/>
    <w:rsid w:val="00657E77"/>
    <w:rsid w:val="00894AEB"/>
    <w:rsid w:val="00984CE9"/>
    <w:rsid w:val="00A07571"/>
    <w:rsid w:val="00CF2C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D0E49"/>
  <w15:docId w15:val="{E32CC0C3-8B23-4F7A-88C1-CA65848B7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b">
    <w:name w:val="Hyperlink"/>
    <w:uiPriority w:val="99"/>
    <w:unhideWhenUsed/>
    <w:rPr>
      <w:color w:val="0563C1" w:themeColor="hyperlink"/>
      <w:u w:val="single"/>
    </w:rPr>
  </w:style>
  <w:style w:type="paragraph" w:styleId="ac">
    <w:name w:val="footnote text"/>
    <w:basedOn w:val="a"/>
    <w:link w:val="ad"/>
    <w:uiPriority w:val="99"/>
    <w:semiHidden/>
    <w:unhideWhenUsed/>
    <w:pPr>
      <w:spacing w:after="40" w:line="240" w:lineRule="auto"/>
    </w:pPr>
    <w:rPr>
      <w:sz w:val="18"/>
    </w:rPr>
  </w:style>
  <w:style w:type="character" w:customStyle="1" w:styleId="ad">
    <w:name w:val="Текст сноски Знак"/>
    <w:link w:val="ac"/>
    <w:uiPriority w:val="99"/>
    <w:rPr>
      <w:sz w:val="18"/>
    </w:rPr>
  </w:style>
  <w:style w:type="character" w:styleId="ae">
    <w:name w:val="footnote reference"/>
    <w:basedOn w:val="a0"/>
    <w:uiPriority w:val="99"/>
    <w:unhideWhenUsed/>
    <w:rPr>
      <w:vertAlign w:val="superscript"/>
    </w:rPr>
  </w:style>
  <w:style w:type="paragraph" w:styleId="af">
    <w:name w:val="endnote text"/>
    <w:basedOn w:val="a"/>
    <w:link w:val="af0"/>
    <w:uiPriority w:val="99"/>
    <w:semiHidden/>
    <w:unhideWhenUsed/>
    <w:pPr>
      <w:spacing w:after="0" w:line="240" w:lineRule="auto"/>
    </w:pPr>
    <w:rPr>
      <w:sz w:val="20"/>
    </w:rPr>
  </w:style>
  <w:style w:type="character" w:customStyle="1" w:styleId="af0">
    <w:name w:val="Текст концевой сноски Знак"/>
    <w:link w:val="af"/>
    <w:uiPriority w:val="99"/>
    <w:rPr>
      <w:sz w:val="20"/>
    </w:rPr>
  </w:style>
  <w:style w:type="character" w:styleId="af1">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2">
    <w:name w:val="TOC Heading"/>
    <w:uiPriority w:val="39"/>
    <w:unhideWhenUsed/>
  </w:style>
  <w:style w:type="paragraph" w:styleId="af3">
    <w:name w:val="table of figures"/>
    <w:basedOn w:val="a"/>
    <w:next w:val="a"/>
    <w:uiPriority w:val="99"/>
    <w:unhideWhenUsed/>
    <w:pPr>
      <w:spacing w:after="0"/>
    </w:pPr>
  </w:style>
  <w:style w:type="paragraph" w:styleId="af4">
    <w:name w:val="List Paragraph"/>
    <w:basedOn w:val="a"/>
    <w:uiPriority w:val="34"/>
    <w:qFormat/>
    <w:pPr>
      <w:ind w:left="720"/>
      <w:contextualSpacing/>
    </w:pPr>
  </w:style>
  <w:style w:type="table" w:styleId="af5">
    <w:name w:val="Table Grid"/>
    <w:basedOn w:val="a1"/>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6">
    <w:name w:val="header"/>
    <w:basedOn w:val="a"/>
    <w:link w:val="af7"/>
    <w:uiPriority w:val="99"/>
    <w:unhideWhenUsed/>
    <w:pPr>
      <w:tabs>
        <w:tab w:val="center" w:pos="4677"/>
        <w:tab w:val="right" w:pos="9355"/>
      </w:tabs>
      <w:spacing w:after="0" w:line="240" w:lineRule="auto"/>
    </w:pPr>
  </w:style>
  <w:style w:type="character" w:customStyle="1" w:styleId="af7">
    <w:name w:val="Верхний колонтитул Знак"/>
    <w:basedOn w:val="a0"/>
    <w:link w:val="af6"/>
    <w:uiPriority w:val="99"/>
  </w:style>
  <w:style w:type="paragraph" w:styleId="af8">
    <w:name w:val="footer"/>
    <w:basedOn w:val="a"/>
    <w:link w:val="af9"/>
    <w:uiPriority w:val="99"/>
    <w:unhideWhenUsed/>
    <w:pPr>
      <w:tabs>
        <w:tab w:val="center" w:pos="4677"/>
        <w:tab w:val="right" w:pos="9355"/>
      </w:tabs>
      <w:spacing w:after="0" w:line="240" w:lineRule="auto"/>
    </w:pPr>
  </w:style>
  <w:style w:type="character" w:customStyle="1" w:styleId="af9">
    <w:name w:val="Нижний колонтитул Знак"/>
    <w:basedOn w:val="a0"/>
    <w:link w:val="af8"/>
    <w:uiPriority w:val="99"/>
  </w:style>
  <w:style w:type="paragraph" w:styleId="afa">
    <w:name w:val="Balloon Text"/>
    <w:basedOn w:val="a"/>
    <w:link w:val="afb"/>
    <w:uiPriority w:val="99"/>
    <w:semiHidden/>
    <w:unhideWhenUsed/>
    <w:pPr>
      <w:spacing w:after="0" w:line="240" w:lineRule="auto"/>
    </w:pPr>
    <w:rPr>
      <w:rFonts w:ascii="Segoe UI" w:hAnsi="Segoe UI" w:cs="Segoe UI"/>
      <w:sz w:val="18"/>
      <w:szCs w:val="18"/>
    </w:rPr>
  </w:style>
  <w:style w:type="character" w:customStyle="1" w:styleId="afb">
    <w:name w:val="Текст выноски Знак"/>
    <w:basedOn w:val="a0"/>
    <w:link w:val="afa"/>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1957</Words>
  <Characters>11160</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Байшев Сергей Алиевич</dc:creator>
  <cp:keywords/>
  <dc:description/>
  <cp:lastModifiedBy>Угрюмов Денис Сергеевич</cp:lastModifiedBy>
  <cp:revision>2</cp:revision>
  <dcterms:created xsi:type="dcterms:W3CDTF">2025-03-20T10:31:00Z</dcterms:created>
  <dcterms:modified xsi:type="dcterms:W3CDTF">2025-03-20T10:31:00Z</dcterms:modified>
</cp:coreProperties>
</file>