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 w:firstLine="991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Приложение № 4.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103" w:firstLine="991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5103" w:firstLine="99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УТВЕРЖДЕНА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6520" w:hanging="2126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                 приказом министерства      транспорта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и дорожного хозяйства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Новосибирской области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left="5103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             от _18_.12.2025</w:t>
      </w:r>
      <w:r>
        <w:rPr>
          <w:rFonts w:ascii="Times New Roman" w:hAnsi="Times New Roman" w:eastAsia="Calibri" w:cs="Times New Roman"/>
          <w:sz w:val="28"/>
          <w:szCs w:val="28"/>
        </w:rPr>
        <w:t xml:space="preserve"> № _248_</w:t>
      </w:r>
      <w:bookmarkStart w:id="0" w:name="_GoBack"/>
      <w:r/>
      <w:bookmarkEnd w:id="0"/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0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0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0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5670"/>
        <w:jc w:val="center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проведения Министерством транспорта и дорожного хозяйства Новосибирской области профилактики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Новосибирской области на 2026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1276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Программа проведения Министерством транспорта и дорожного хозяйства Новосибирской области (далее – Министерство) профилактики рисков причинения вреда (ущерба) охраняемым законом ценностям при осуществлении федера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льного государственного контроля (надзора) за соблюдением правил технической эксплуатации внеуличного транспорта и правил пользования внеуличным транспортом на территории Новосибирской области на 2025 год (далее – программа профилактики) разработана в соот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ветствии с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утверждёнными постановлением Правительства Российской Федерации от 25.06.2021 года № 990.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Раздел 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/>
        </w:rPr>
        <w:t xml:space="preserve">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которого направлена программа профилактики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2268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статьи 6 Федерального закона от 29 </w:t>
      </w:r>
      <w:r>
        <w:rPr>
          <w:rFonts w:ascii="Times New Roman" w:hAnsi="Times New Roman" w:cs="Times New Roman"/>
          <w:sz w:val="28"/>
          <w:szCs w:val="28"/>
        </w:rPr>
        <w:t xml:space="preserve">декабря 2017 года № 442-ФЗ «О внеуличном транспорте и о внесении изменений в отдельные законодательные акты Российской Федерации», постановления Правительства Новосибирской области от 19.10.2015 № 382-п «Об утверждении Положения о министерстве транспорта и</w:t>
      </w:r>
      <w:r>
        <w:rPr>
          <w:rFonts w:ascii="Times New Roman" w:hAnsi="Times New Roman" w:cs="Times New Roman"/>
          <w:sz w:val="28"/>
          <w:szCs w:val="28"/>
        </w:rPr>
        <w:t xml:space="preserve"> дорожного хозяйства Новосибирской области» Министерство определено исполнительным органом государственной власти Новосибирской области, уполномоченным на осуществление полномочий Российской Федерации по федеральному государственному контролю (надзору) за </w:t>
      </w:r>
      <w:r>
        <w:rPr>
          <w:rFonts w:ascii="Times New Roman" w:hAnsi="Times New Roman" w:cs="Times New Roman"/>
          <w:sz w:val="28"/>
          <w:szCs w:val="28"/>
        </w:rPr>
        <w:t xml:space="preserve">соблюдением правил технической эксплуатации внеуличного транспорта  и правил пользования внеуличным транспортом (далее – федеральный государственный контроль (надзор)) на территории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федерального государственного контроля (надзора) является оценка соблюдения юридическим лицом или индивидуальным предпринимателем, осуществляю</w:t>
      </w:r>
      <w:r>
        <w:rPr>
          <w:rFonts w:ascii="Times New Roman" w:hAnsi="Times New Roman" w:cs="Times New Roman"/>
          <w:sz w:val="28"/>
          <w:szCs w:val="28"/>
        </w:rPr>
        <w:t xml:space="preserve">щими эксплуатацию подвижного состава внеуличного транспорта и объектов инфраструктуры внеуличного транспорта, обязательных требований, предусмотренных правилами технической эксплуатации внеуличного транспорта и правилами пользования внеуличным транспортом.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368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при осуществлении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государственного контроля (надзора) являются юридические лица и индивидуальные предприниматели, осуществляющие эксплуатацию подвижного состава внеуличного транспорта и объектов инфраструктуры внеуличного транспорта на территории Новосибирской области.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указанный вид деятельности осуществляет один субъект – Муниципальное унитарное предприятие города Новосибирска «Новосибирский метрополитен» (далее - МУП «Новосибирский метрополитен», контролируемое лицо).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Обязательные требования, оценка соблюдения которых является предметом федерального государственного контроля (надзора) установлены: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Минтранса России от 26.10.2018 № 386 «Об утверждении Типовых правил пользования метрополитеном»;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Минтранса России от 21.12.2018 № 468 «Об утверждении Типовых правил технической эксплуатации метрополитена»;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17.09.2019 № 347-п «Об утверждении Правил пользования Новосибирским метрополитеном»;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numPr>
          <w:ilvl w:val="0"/>
          <w:numId w:val="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28.10.2019 № 417-п «Об утверждении Правил технической эксплуатации Новосибирского метрополитена».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09" w:firstLine="1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Объектами федерального государственного контроля (надзора)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деятельность по эксплуатации метрополитена;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подвижной состав метрополитена;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1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объекты инфраструктуры метрополитена.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учётом тяжести потенциальных негативных последствий возможного несоблюдения кон</w:t>
      </w:r>
      <w:r>
        <w:rPr>
          <w:rFonts w:ascii="Times New Roman" w:hAnsi="Times New Roman" w:cs="Times New Roman"/>
          <w:sz w:val="28"/>
          <w:szCs w:val="28"/>
        </w:rPr>
        <w:t xml:space="preserve">тролируемым лицом обязательных требований (группа тяжести) и оценка вероятности несоблюдения контролируемым лицом обязательных требований (группа вероятности) объекты федерального государственного контроля (надзора) в соответствии с пунктом 21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утвержденного постановлением Правительства Российской Федерации от 25.06.2021 № 1003 (далее – </w:t>
      </w:r>
      <w:r>
        <w:rPr>
          <w:rFonts w:ascii="Times New Roman" w:hAnsi="Times New Roman" w:cs="Times New Roman"/>
          <w:sz w:val="28"/>
          <w:szCs w:val="28"/>
        </w:rPr>
        <w:t xml:space="preserve">Положение), объекты контроля приказом Министерства от 13.12.2021 № 435 отнесены к категории низкого риска. Плановые контрольные (надзорные) мероприятия в отношении объектов контроля, отнесенных к категории низкого риска, не проводятся (пункт 22 Положения).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Министерства в информационно-телекоммуникационной сети «Интернет» систематически наполняется необходимой информацией раздел, посвященный федеральному государственному контролю (надзору) (https://mintrans.nso</w:t>
      </w:r>
      <w:r>
        <w:rPr>
          <w:rFonts w:ascii="Times New Roman" w:hAnsi="Times New Roman" w:cs="Times New Roman"/>
          <w:sz w:val="28"/>
          <w:szCs w:val="28"/>
        </w:rPr>
        <w:t xml:space="preserve">.ru/page/3190). В указанном разделе размещен перечень правовых актов, соблюдение которых оценивается при осуществлении федерального государственного контроля, тексты данных правовых актов, руководство по соблюдению обязательных требований, оценка соблюдени</w:t>
      </w:r>
      <w:r>
        <w:rPr>
          <w:rFonts w:ascii="Times New Roman" w:hAnsi="Times New Roman" w:cs="Times New Roman"/>
          <w:sz w:val="28"/>
          <w:szCs w:val="28"/>
        </w:rPr>
        <w:t xml:space="preserve">я которых является предметом федерального государственного контроля (надзора), перечень документов, предоставление которых гражданином, организацией необходимо для оценки соблюдения обязательных требований, а также другая информация для контролируемых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 2.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Цели и задачи реализации программы профилактики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2268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</w:t>
      </w:r>
      <w:r>
        <w:rPr>
          <w:rFonts w:ascii="Times New Roman" w:hAnsi="Times New Roman" w:cs="Times New Roman"/>
          <w:sz w:val="28"/>
          <w:szCs w:val="28"/>
        </w:rPr>
        <w:t xml:space="preserve">нная настоящей программой профилактики система мер направлена на повышение уровня информированности контролируемого лица по вопросам соблюдения обязательных требований, формирование ответственного отношения к обеспечению соблюдения обязательных требований.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реализации программы профилактики является: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 нарушений контролируемым лицом обязательных требований (снижение числа нарушений обязательных требований);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предотвращение причинения вреда либо угрозы причинения вреда охраняемым законом ценностям вследствие нарушений обязательных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повышение прозрачности деятельности министерства при осуществлении федерального государственного контроля (надзора);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создание инфраструктуры профилактики рисков причинения вреда охраняемым законом ценностям.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Программы профилактики необходимо решение следующих задач: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выявление причин, факторов и условий, способствующих возможному нарушению обязательных требований;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устранение причин, факторов и условий, способствующих возможному нарушению обязательных требований;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у всех участников отношений в области федерального государственного контроля (надзора), в том числе путем разъяснения контролируемому лицу обязательных требований;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оценка состояния подконтрольной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проведение профилактических мероприятий с учетом данных состояния подконтрольной среды;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сбор и анализ статистических данных, необходимых для организации профилактической работы, в том числе для определения видов, форм и интенсивности профилактических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создание системы взаимодействия между контролируемыми лицами и Министерством, обеспечивающей наиболее полное информирование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контролируемых лиц по вопросам соблюдения обязательных требований и проводимой Министерством профилактической работы;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автоматизация системы профилактики.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конечные результаты реализации программы: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снижение рисков причинения вреда охраняемым законом ценностям;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системы профилактических мероприятий;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внедрение различных способов профилактики;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разработка и внедрение технологий профилактической работы;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прозрачности контрольно-надзорной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уменьшение административной нагрузки на контролируемых лиц.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 3. Перечень профилактических мероприятий,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сроки(периодичность) их проведения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23 Положения о федеральном государственном контроле (надзоре), при осуществлении федерального государственного контроля (надзора) проводятся следующие профилактические мероприятия: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информирование;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обобщение правоприменительной практики;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объявление предостережения;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консультирование;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обязательный профилактический визит.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4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553"/>
        <w:gridCol w:w="3685"/>
        <w:gridCol w:w="1843"/>
        <w:gridCol w:w="2551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профилактического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мероприятии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(периодичность)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038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Министерства в сети «Интернет», в иных информационных системах и поддержание в актуальном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текстов нормативных правовых актов, регулирующих осуществление государственного контроля (надзора);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перечня 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правовых актов с указанием 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информации о мерах ответственности, применяемых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нарушении обязательных требований, с текстами в действующей редакции;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утвержденных проверочных листов;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руководство по соблюдению обязательных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перечня индикаторов риска нарушения обязательных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6) перечня объектов контроля с указанием категории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программы профилактики рисков причинения вреда;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плана проведения плановых контрольных (надзорных) мероприятий (при наличии);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9) исчерпывающего перечня сведений, которые могут запрашиваться у контролируемого лица;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10) сведений и способах получения консультаций по вопросам соблюдения обязательных требований;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сведений о порядке досудебного обжалования решений контрольного (надзорного) органа, действий (бездействия) его должностных лиц;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12) доклада, содержащих результаты обобщения правоприменительной практики;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13) доклада о государственном контроле (надзоре);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14) иные сведения, предусмотренные нормативными правовыми актами Российской Федерации, нормативными правовыми актами субъектов Российской Федерации.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транспорта и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                           правоприменительной практики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приказом Министерства доклада о правоприменительной практике не позднее 30 августа года, следующего за отчетным и его размещение на официальном сайте Министерства в сети «Интернет» в трехдневный срок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дня                                 утверждения.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транспорта и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контролируемого лица о недопустимости нарушения обязательных требований и предложение принять меры по обеспечение соблюдения обязательных требований.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соответствующих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транспорта и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профилактический визит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объектов федерального контроля, отнесенных к категории высокого риска;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контролируемых лиц, которые впервые начали осуществлять деятельность в области внеуличного транспорта.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текущем режиме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развития транспорта и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4. Показатели результативности и эффективности Программы профилактики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4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2977"/>
        <w:gridCol w:w="4253"/>
        <w:gridCol w:w="2977"/>
      </w:tblGrid>
      <w:tr>
        <w:tblPrEx/>
        <w:trPr>
          <w:trHeight w:val="352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Методика расчета значения показателя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значения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71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нарушений правил технической эксплуатации Новосибирского метрополитена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Х=А х 100%/В, где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– доля оклонений от нормальной работы Новосибирского метрополитена, связанных с событиями, которые могут привести к нарушениям безопасности движения (раздел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приложения № 1 к приказу Рострванснадзора от 13.09.2023 № ВБ-298фс);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– количество отклонений от нормальной работы Новосибирского метрополитена, связанных с событиями, которые могут привести к нарушениям безопасности движения (раздел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приложения № 1 к приказу Ространснадзора от 13.09.2023 № ВБ-298фс), произошедших в истекшем году;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В – максимально допустимое количество отклонений от нормальной работы Новосибирского метрополитена, связанных с событиями, которые могут привести к нарушениям безопасности движения (раздел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ru-RU"/>
              </w:rPr>
              <w:t xml:space="preserve">приложения № 1 к приказу Ространснадзора от 13.09.2023 № ВБ-298фс) в год.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нарушений правил пользования Новосибирским метрополитеном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253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 100%/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где: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нарушений правил пользования Новосибирским метрополитеном;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– количество нарушений правил пользования Новосибирским метрополитеном (разделы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приложения № 1 к приказу Ространснадзора от 13.09.2023 № ВБ-298 фс), выявленных при осуществлении государственного контроля (надзора) в истекшем году;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– максимально допустимое количество нарушений правил пользования Новосибирским метрополитеном (разделы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приложения № 1 к приказуРостранснадзора от 13.09.2023 № ВБ-298фс) в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84%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 допустимым количествоми отклонений от нормальной работы Новосибирского метрополитена, связанных с событиями, которые могут привести к нарушениям безопасности движения (раздел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приложения № 1 к приказу Ространснадзора от 13.09.2023 № ВБ-298фс) признается 12 событий в год.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Максимально допустимым количеством нарушений правил пользования Новосибирским метрополитеном (разделы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приложения № 1 к приказу Ространсннадзора от 13.09.2023 № ВБ-298фс) признается 10 нарушений в год.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профилактики признется эффективной в случае достижения значений целевых показателей, предусмотренных настоящим разделом.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 достижения целевых значений показателей, программа профилактики признаётся недостаточно эффективной и требующей изменений в части интенсивности и форм проведения мероприятий по профилактике.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93216063"/>
      <w:docPartObj>
        <w:docPartGallery w:val="Page Numbers (Top of Page)"/>
        <w:docPartUnique w:val="true"/>
      </w:docPartObj>
      <w:rPr/>
    </w:sdtPr>
    <w:sdtContent>
      <w:p>
        <w:pPr>
          <w:pStyle w:val="885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88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</w:style>
  <w:style w:type="paragraph" w:styleId="691">
    <w:name w:val="Heading 1"/>
    <w:basedOn w:val="690"/>
    <w:next w:val="690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  <w:pPr>
      <w:spacing w:after="0" w:line="240" w:lineRule="auto"/>
    </w:pPr>
  </w:style>
  <w:style w:type="paragraph" w:styleId="728">
    <w:name w:val="Title"/>
    <w:basedOn w:val="690"/>
    <w:next w:val="690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 w:customStyle="1">
    <w:name w:val="Заголовок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0"/>
    <w:next w:val="690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0"/>
    <w:next w:val="690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0"/>
    <w:next w:val="690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uiPriority w:val="99"/>
  </w:style>
  <w:style w:type="character" w:styleId="737" w:customStyle="1">
    <w:name w:val="Footer Char"/>
    <w:basedOn w:val="700"/>
    <w:uiPriority w:val="99"/>
  </w:style>
  <w:style w:type="paragraph" w:styleId="738">
    <w:name w:val="Caption"/>
    <w:basedOn w:val="690"/>
    <w:next w:val="690"/>
    <w:link w:val="73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1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9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0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1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2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3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4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1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2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3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4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5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6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7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9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0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1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2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3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4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paragraph" w:styleId="866">
    <w:name w:val="footnote text"/>
    <w:basedOn w:val="690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0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0"/>
    <w:next w:val="690"/>
    <w:uiPriority w:val="39"/>
    <w:unhideWhenUsed/>
    <w:pPr>
      <w:spacing w:after="57"/>
    </w:pPr>
  </w:style>
  <w:style w:type="paragraph" w:styleId="873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4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5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6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7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8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9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0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0"/>
    <w:next w:val="690"/>
    <w:uiPriority w:val="99"/>
    <w:unhideWhenUsed/>
    <w:pPr>
      <w:spacing w:after="0"/>
    </w:pPr>
  </w:style>
  <w:style w:type="paragraph" w:styleId="883">
    <w:name w:val="List Paragraph"/>
    <w:basedOn w:val="690"/>
    <w:uiPriority w:val="34"/>
    <w:qFormat/>
    <w:pPr>
      <w:contextualSpacing/>
      <w:ind w:left="720"/>
    </w:pPr>
  </w:style>
  <w:style w:type="table" w:styleId="884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5">
    <w:name w:val="Header"/>
    <w:basedOn w:val="690"/>
    <w:link w:val="8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6" w:customStyle="1">
    <w:name w:val="Верхний колонтитул Знак"/>
    <w:basedOn w:val="700"/>
    <w:link w:val="885"/>
    <w:uiPriority w:val="99"/>
  </w:style>
  <w:style w:type="paragraph" w:styleId="887">
    <w:name w:val="Footer"/>
    <w:basedOn w:val="690"/>
    <w:link w:val="8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8" w:customStyle="1">
    <w:name w:val="Нижний колонтитул Знак"/>
    <w:basedOn w:val="700"/>
    <w:link w:val="887"/>
    <w:uiPriority w:val="99"/>
  </w:style>
  <w:style w:type="paragraph" w:styleId="889">
    <w:name w:val="Balloon Text"/>
    <w:basedOn w:val="690"/>
    <w:link w:val="89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90" w:customStyle="1">
    <w:name w:val="Текст выноски Знак"/>
    <w:basedOn w:val="700"/>
    <w:link w:val="889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Байшев Сергей Алиевич</dc:creator>
  <cp:keywords/>
  <dc:description/>
  <cp:lastModifiedBy>Basa</cp:lastModifiedBy>
  <cp:revision>6</cp:revision>
  <dcterms:created xsi:type="dcterms:W3CDTF">2025-03-20T10:31:00Z</dcterms:created>
  <dcterms:modified xsi:type="dcterms:W3CDTF">2026-01-23T09:35:24Z</dcterms:modified>
</cp:coreProperties>
</file>